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9B" w:rsidRDefault="00264E9B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612B2" w:rsidRDefault="0044175B" w:rsidP="007612B2">
      <w:pPr>
        <w:overflowPunct w:val="0"/>
        <w:spacing w:line="1300" w:lineRule="exact"/>
        <w:ind w:leftChars="-85" w:left="-178"/>
        <w:jc w:val="distribute"/>
        <w:rPr>
          <w:rFonts w:ascii="方正小标宋_GBK" w:eastAsia="方正小标宋_GBK"/>
          <w:noProof/>
          <w:w w:val="65"/>
          <w:sz w:val="100"/>
        </w:rPr>
      </w:pPr>
      <w:r w:rsidRPr="009D4310">
        <w:rPr>
          <w:rFonts w:ascii="方正小标宋_GBK" w:eastAsia="方正小标宋_GBK" w:hint="eastAsia"/>
          <w:color w:val="FF0000"/>
          <w:spacing w:val="-20"/>
          <w:w w:val="65"/>
          <w:sz w:val="100"/>
          <w:szCs w:val="144"/>
        </w:rPr>
        <w:t>黄山市住房公积金管理中心</w:t>
      </w:r>
    </w:p>
    <w:p w:rsidR="00264E9B" w:rsidRPr="007612B2" w:rsidRDefault="0044175B" w:rsidP="007612B2">
      <w:pPr>
        <w:overflowPunct w:val="0"/>
        <w:spacing w:line="1300" w:lineRule="exact"/>
        <w:ind w:leftChars="-85" w:left="-178"/>
        <w:jc w:val="distribute"/>
        <w:rPr>
          <w:rFonts w:ascii="方正小标宋_GBK" w:eastAsia="方正小标宋_GBK"/>
          <w:noProof/>
          <w:w w:val="65"/>
          <w:sz w:val="100"/>
        </w:rPr>
      </w:pPr>
      <w:r w:rsidRPr="00CF10B3">
        <w:rPr>
          <w:rFonts w:ascii="方正小标宋_GBK" w:eastAsia="方正小标宋_GBK" w:hint="eastAsia"/>
          <w:color w:val="FF0000"/>
          <w:spacing w:val="-20"/>
          <w:w w:val="95"/>
          <w:kern w:val="4"/>
          <w:sz w:val="92"/>
          <w:szCs w:val="92"/>
        </w:rPr>
        <w:t>黄山市不动产登记中心</w:t>
      </w:r>
    </w:p>
    <w:p w:rsidR="006524C1" w:rsidRDefault="002713A1" w:rsidP="0044175B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713A1">
        <w:rPr>
          <w:rFonts w:ascii="方正小标宋_GBK" w:eastAsia="方正小标宋_GBK"/>
          <w:noProof/>
          <w:w w:val="65"/>
          <w:sz w:val="100"/>
        </w:rPr>
        <w:pict>
          <v:line id="_x0000_s2050" style="position:absolute;left:0;text-align:left;flip:y;z-index:251660288" from="-7.65pt,8.5pt" to="426pt,8.5pt" strokecolor="red" strokeweight="2.5pt"/>
        </w:pict>
      </w:r>
    </w:p>
    <w:p w:rsidR="00264E9B" w:rsidRDefault="00163A2D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</w:t>
      </w:r>
      <w:r w:rsidR="00CF10B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黄公积金函〔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885FD9" w:rsidRPr="00D224BD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号 </w:t>
      </w:r>
    </w:p>
    <w:p w:rsidR="00525FC7" w:rsidRPr="00525FC7" w:rsidRDefault="00525FC7" w:rsidP="00525FC7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25B4B" w:rsidRDefault="00525FC7" w:rsidP="006524C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关于商转公贷款新增“以贷还贷”方式</w:t>
      </w:r>
    </w:p>
    <w:p w:rsidR="00525FC7" w:rsidRPr="00425B4B" w:rsidRDefault="00525FC7" w:rsidP="00425B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425B4B" w:rsidRPr="00425B4B" w:rsidRDefault="00425B4B" w:rsidP="00425B4B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25B4B" w:rsidRPr="00425B4B" w:rsidRDefault="00425B4B" w:rsidP="00D224BD">
      <w:pPr>
        <w:overflowPunct w:val="0"/>
        <w:spacing w:line="53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市公积金中心各有关部门，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各区</w:t>
      </w:r>
      <w:r w:rsidR="004F6EFB"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县不动产登记中心，</w:t>
      </w:r>
      <w:r w:rsidR="004F6EFB">
        <w:rPr>
          <w:rFonts w:ascii="方正仿宋_GBK" w:eastAsia="方正仿宋_GBK" w:hAnsi="方正仿宋_GBK" w:cs="方正仿宋_GBK" w:hint="eastAsia"/>
          <w:sz w:val="32"/>
          <w:szCs w:val="32"/>
        </w:rPr>
        <w:t>各委贷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银行，缴存职工:</w:t>
      </w:r>
    </w:p>
    <w:p w:rsidR="00425B4B" w:rsidRPr="00425B4B" w:rsidRDefault="00425B4B" w:rsidP="00D224BD">
      <w:pPr>
        <w:overflowPunct w:val="0"/>
        <w:spacing w:line="53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为充分发挥住房公积金制度优势，有效减轻职工家庭还贷压力，帮助群众解决急难愁盼问题，黄山市住房公积金管理中心（以下简称“公积金中心”）在原有商转公贷款“先还后贷”基础上新增“以贷还贷”方式。现将有关情况通知如下：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黑体" w:eastAsia="黑体" w:hAnsi="黑体" w:cs="黑体" w:hint="eastAsia"/>
          <w:sz w:val="32"/>
          <w:szCs w:val="32"/>
        </w:rPr>
        <w:t>一、申请条件等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（一）商转公贷款“以贷还贷”方式的申请条件、申请材料、贷款期限等均参照商转公贷款“先还后贷”方式执行，借款人需与原商业贷款的借款人一致，具体情况以公积金中心审核为准。</w:t>
      </w:r>
    </w:p>
    <w:p w:rsidR="00425B4B" w:rsidRP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（二）贷款额度按照公积金贷款有关规定计算，但不得超过原商业住房贷款剩余本金扣除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个月应还本金后的金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额。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黑体" w:eastAsia="黑体" w:hAnsi="黑体" w:cs="黑体" w:hint="eastAsia"/>
          <w:sz w:val="32"/>
          <w:szCs w:val="32"/>
        </w:rPr>
        <w:t>二、办理流程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（一）借款人(共同借款人）到公积金中心窗口提交商转公贷款资料，申请办理“以贷还贷”方式的相关手续。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（二）公积金中心受理后借款人(</w:t>
      </w:r>
      <w:r w:rsidR="004F6EFB">
        <w:rPr>
          <w:rFonts w:ascii="方正仿宋_GBK" w:eastAsia="方正仿宋_GBK" w:hAnsi="方正仿宋_GBK" w:cs="方正仿宋_GBK" w:hint="eastAsia"/>
          <w:sz w:val="32"/>
          <w:szCs w:val="32"/>
        </w:rPr>
        <w:t>共同借款人）与住房公积金委贷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银行预签《住房公积金个人住房贷款借款合同》。</w:t>
      </w:r>
    </w:p>
    <w:p w:rsidR="00425B4B" w:rsidRDefault="00425B4B" w:rsidP="00D224BD">
      <w:pPr>
        <w:overflowPunct w:val="0"/>
        <w:spacing w:line="53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（三）初审通过的，借款人到原商业贷款银行预约提前还清贷款业务具体时间并开具《同意商转公“以贷还贷”方式提前结清住房贷款证明书》（详见附件）。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（四）委贷银行持不动产登记申请书、申请人身份证明、不动产权属证书、主债权合同及抵押合同等材料向不动产登记中心申请办理</w:t>
      </w:r>
      <w:r w:rsidR="009249F7">
        <w:rPr>
          <w:rFonts w:ascii="方正仿宋_GBK" w:eastAsia="方正仿宋_GBK" w:hAnsi="方正仿宋_GBK" w:cs="方正仿宋_GBK" w:hint="eastAsia"/>
          <w:sz w:val="32"/>
          <w:szCs w:val="32"/>
        </w:rPr>
        <w:t>公积金贷款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抵押</w:t>
      </w:r>
      <w:r w:rsidR="009249F7">
        <w:rPr>
          <w:rFonts w:ascii="方正仿宋_GBK" w:eastAsia="方正仿宋_GBK" w:hAnsi="方正仿宋_GBK" w:cs="方正仿宋_GBK" w:hint="eastAsia"/>
          <w:sz w:val="32"/>
          <w:szCs w:val="32"/>
        </w:rPr>
        <w:t>权首次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登记，并在不动产登记申请书中注明“商转公‘以贷还贷’按揭贷款”，不动产登记中心在不动产登记簿和《不动产登记证明》上予以注</w:t>
      </w:r>
      <w:r w:rsidR="009249F7">
        <w:rPr>
          <w:rFonts w:ascii="方正仿宋_GBK" w:eastAsia="方正仿宋_GBK" w:hAnsi="方正仿宋_GBK" w:cs="方正仿宋_GBK" w:hint="eastAsia"/>
          <w:sz w:val="32"/>
          <w:szCs w:val="32"/>
        </w:rPr>
        <w:t>记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25B4B" w:rsidRP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（五）符合放款条件的，公积金贷款与原商业贷款差额部分，由借款人自筹资金在公积金贷款放款前存入还款账</w:t>
      </w:r>
      <w:r w:rsidRPr="00EF147B">
        <w:rPr>
          <w:rFonts w:ascii="方正仿宋_GBK" w:eastAsia="方正仿宋_GBK" w:hAnsi="方正仿宋_GBK" w:cs="方正仿宋_GBK" w:hint="eastAsia"/>
          <w:sz w:val="32"/>
          <w:szCs w:val="32"/>
        </w:rPr>
        <w:t>户；公积金中心在确认的还款日将贷款资金转至委贷银行委贷专户，委贷银行应于收到资金当日放款，并于当日结清原商业贷款。</w:t>
      </w:r>
    </w:p>
    <w:p w:rsidR="00425B4B" w:rsidRPr="00425B4B" w:rsidRDefault="00425B4B" w:rsidP="00D224BD">
      <w:pPr>
        <w:tabs>
          <w:tab w:val="left" w:pos="3570"/>
        </w:tabs>
        <w:overflowPunct w:val="0"/>
        <w:spacing w:line="53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（六）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商业银行在商业贷款结清后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个工作日内持不动产登记申请书、申请人身份证明、不动产登记证明、贷款结清证明等材料向不动产登记中心申请办理</w:t>
      </w:r>
      <w:r w:rsidR="009249F7">
        <w:rPr>
          <w:rFonts w:ascii="方正仿宋_GBK" w:eastAsia="方正仿宋_GBK" w:hAnsi="仿宋_GB2312" w:cs="仿宋_GB2312" w:hint="eastAsia"/>
          <w:sz w:val="32"/>
          <w:szCs w:val="32"/>
        </w:rPr>
        <w:t>商业贷款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抵押权注销登记，并将商业贷款结清证明交至公积金中心。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425B4B">
        <w:rPr>
          <w:rFonts w:ascii="黑体" w:eastAsia="黑体" w:hAnsi="黑体" w:cs="方正黑体_GBK" w:hint="eastAsia"/>
          <w:sz w:val="32"/>
          <w:szCs w:val="32"/>
        </w:rPr>
        <w:t>三、其他有关情况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（一）申请商转公贷款“以贷还贷”方式的，原则上在原商业贷款银行办理，申请人根据原商业银行可办理情况并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结合实际，自主选择商转公贷款具体办理方式。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（二）目前可申请办理商转公贷款“以贷还贷”方式的银行有工商银行、农业银行、中国银行、建设银行、交通银行、徽商银行、屯溪农商行、太平农商行、徽州农商行。</w:t>
      </w:r>
      <w:r w:rsidR="004F6EFB">
        <w:rPr>
          <w:rFonts w:ascii="方正仿宋_GBK" w:eastAsia="方正仿宋_GBK" w:hAnsi="方正仿宋_GBK" w:cs="方正仿宋_GBK" w:hint="eastAsia"/>
          <w:sz w:val="32"/>
          <w:szCs w:val="32"/>
        </w:rPr>
        <w:t>公积金中心各区、县管理部以实际合作的委贷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银行为准，具体请咨询原商业贷款银行。</w:t>
      </w:r>
    </w:p>
    <w:p w:rsidR="007A3275" w:rsidRDefault="00425B4B" w:rsidP="00D224BD">
      <w:pPr>
        <w:overflowPunct w:val="0"/>
        <w:spacing w:line="53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（三）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鼓励委贷银行在线申请办理不动产抵押登记业务，进一步提高办事效率。</w:t>
      </w:r>
    </w:p>
    <w:p w:rsidR="00425B4B" w:rsidRDefault="007A3275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（四）公积金中心与</w:t>
      </w:r>
      <w:r w:rsidR="009249F7">
        <w:rPr>
          <w:rFonts w:ascii="方正仿宋_GBK" w:eastAsia="方正仿宋_GBK" w:hAnsi="仿宋_GB2312" w:cs="仿宋_GB2312" w:hint="eastAsia"/>
          <w:sz w:val="32"/>
          <w:szCs w:val="32"/>
        </w:rPr>
        <w:t>不动产登记中心开通绿色通道优先办理。</w:t>
      </w:r>
    </w:p>
    <w:p w:rsid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（</w:t>
      </w:r>
      <w:r w:rsidR="00273609">
        <w:rPr>
          <w:rFonts w:ascii="方正仿宋_GBK" w:eastAsia="方正仿宋_GBK" w:hAnsi="仿宋_GB2312" w:cs="仿宋_GB2312" w:hint="eastAsia"/>
          <w:sz w:val="32"/>
          <w:szCs w:val="32"/>
        </w:rPr>
        <w:t>五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）本</w:t>
      </w:r>
      <w:r w:rsidR="00EF147B">
        <w:rPr>
          <w:rFonts w:ascii="方正仿宋_GBK" w:eastAsia="方正仿宋_GBK" w:hAnsi="仿宋_GB2312" w:cs="仿宋_GB2312" w:hint="eastAsia"/>
          <w:sz w:val="32"/>
          <w:szCs w:val="32"/>
        </w:rPr>
        <w:t>《</w:t>
      </w:r>
      <w:r w:rsidR="00EF147B" w:rsidRPr="00425B4B">
        <w:rPr>
          <w:rFonts w:ascii="方正仿宋_GBK" w:eastAsia="方正仿宋_GBK" w:hAnsi="仿宋_GB2312" w:cs="仿宋_GB2312" w:hint="eastAsia"/>
          <w:sz w:val="32"/>
          <w:szCs w:val="32"/>
        </w:rPr>
        <w:t>通知</w:t>
      </w:r>
      <w:r w:rsidR="00EF147B">
        <w:rPr>
          <w:rFonts w:ascii="方正仿宋_GBK" w:eastAsia="方正仿宋_GBK" w:hAnsi="仿宋_GB2312" w:cs="仿宋_GB2312" w:hint="eastAsia"/>
          <w:sz w:val="32"/>
          <w:szCs w:val="32"/>
        </w:rPr>
        <w:t>》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自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425B4B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25B4B"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25B4B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  <w:r w:rsidRPr="00EF147B">
        <w:rPr>
          <w:rFonts w:ascii="方正仿宋_GBK" w:eastAsia="方正仿宋_GBK" w:hAnsi="Times New Roman" w:cs="Times New Roman" w:hint="eastAsia"/>
          <w:sz w:val="32"/>
          <w:szCs w:val="32"/>
        </w:rPr>
        <w:t>起执行。</w:t>
      </w:r>
      <w:r w:rsidRPr="00EF147B">
        <w:rPr>
          <w:rFonts w:ascii="方正仿宋_GBK" w:eastAsia="方正仿宋_GBK" w:hAnsi="仿宋_GB2312" w:cs="仿宋_GB2312" w:hint="eastAsia"/>
          <w:sz w:val="32"/>
          <w:szCs w:val="32"/>
        </w:rPr>
        <w:t>各区</w:t>
      </w:r>
      <w:r w:rsidR="00EF147B"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县不动产登记中心参照办理。</w:t>
      </w:r>
    </w:p>
    <w:p w:rsidR="00425B4B" w:rsidRPr="00425B4B" w:rsidRDefault="00425B4B" w:rsidP="00D224BD">
      <w:pPr>
        <w:overflowPunct w:val="0"/>
        <w:spacing w:line="53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273609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）本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="00EF147B" w:rsidRPr="00425B4B">
        <w:rPr>
          <w:rFonts w:ascii="方正仿宋_GBK" w:eastAsia="方正仿宋_GBK" w:hAnsi="方正仿宋_GBK" w:cs="方正仿宋_GBK" w:hint="eastAsia"/>
          <w:sz w:val="32"/>
          <w:szCs w:val="32"/>
        </w:rPr>
        <w:t>通知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由黄山市住房公积金管理中心和</w:t>
      </w:r>
      <w:r w:rsidR="007A3275">
        <w:rPr>
          <w:rFonts w:ascii="方正仿宋_GBK" w:eastAsia="方正仿宋_GBK" w:hAnsi="方正仿宋_GBK" w:cs="方正仿宋_GBK" w:hint="eastAsia"/>
          <w:sz w:val="32"/>
          <w:szCs w:val="32"/>
        </w:rPr>
        <w:t>黄山</w:t>
      </w:r>
      <w:r w:rsidR="009249F7">
        <w:rPr>
          <w:rFonts w:ascii="方正仿宋_GBK" w:eastAsia="方正仿宋_GBK" w:hAnsi="方正仿宋_GBK" w:cs="方正仿宋_GBK" w:hint="eastAsia"/>
          <w:sz w:val="32"/>
          <w:szCs w:val="32"/>
        </w:rPr>
        <w:t>市</w:t>
      </w: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不动产登记中心</w:t>
      </w:r>
      <w:r w:rsidRPr="00425B4B">
        <w:rPr>
          <w:rFonts w:ascii="方正仿宋_GBK" w:eastAsia="方正仿宋_GBK" w:hAnsi="方正仿宋_GBK" w:cs="方正仿宋_GBK" w:hint="eastAsia"/>
          <w:sz w:val="32"/>
          <w:szCs w:val="32"/>
        </w:rPr>
        <w:t>负责解释。</w:t>
      </w:r>
    </w:p>
    <w:p w:rsidR="00425B4B" w:rsidRPr="00425B4B" w:rsidRDefault="00425B4B" w:rsidP="00D224BD">
      <w:pPr>
        <w:overflowPunct w:val="0"/>
        <w:spacing w:line="530" w:lineRule="exact"/>
        <w:ind w:leftChars="304" w:left="1819" w:hangingChars="369" w:hanging="1181"/>
        <w:rPr>
          <w:rFonts w:ascii="方正仿宋_GBK" w:eastAsia="方正仿宋_GBK" w:hAnsi="仿宋_GB2312" w:cs="仿宋_GB2312"/>
          <w:sz w:val="32"/>
          <w:szCs w:val="32"/>
        </w:rPr>
      </w:pPr>
    </w:p>
    <w:p w:rsidR="00425B4B" w:rsidRPr="00425B4B" w:rsidRDefault="00425B4B" w:rsidP="00D224BD">
      <w:pPr>
        <w:overflowPunct w:val="0"/>
        <w:spacing w:line="530" w:lineRule="exact"/>
        <w:ind w:leftChars="304" w:left="1819" w:hangingChars="369" w:hanging="1181"/>
        <w:rPr>
          <w:rFonts w:ascii="方正仿宋_GBK" w:eastAsia="方正仿宋_GBK" w:hAnsi="仿宋_GB2312" w:cs="仿宋_GB2312"/>
          <w:sz w:val="32"/>
          <w:szCs w:val="32"/>
        </w:rPr>
      </w:pP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>附件：同意商转公“以贷还贷”方式提前结清住房贷款</w:t>
      </w:r>
    </w:p>
    <w:p w:rsidR="00425B4B" w:rsidRPr="00425B4B" w:rsidRDefault="00425B4B" w:rsidP="00D224BD">
      <w:pPr>
        <w:overflowPunct w:val="0"/>
        <w:spacing w:line="530" w:lineRule="exact"/>
        <w:ind w:leftChars="304" w:left="1819" w:hangingChars="369" w:hanging="1181"/>
        <w:rPr>
          <w:rFonts w:ascii="方正仿宋_GBK" w:eastAsia="方正仿宋_GBK" w:hAnsi="仿宋_GB2312" w:cs="仿宋_GB2312"/>
          <w:sz w:val="32"/>
          <w:szCs w:val="32"/>
        </w:rPr>
      </w:pPr>
      <w:r w:rsidRPr="00425B4B">
        <w:rPr>
          <w:rFonts w:ascii="方正仿宋_GBK" w:eastAsia="方正仿宋_GBK" w:hAnsi="仿宋_GB2312" w:cs="仿宋_GB2312" w:hint="eastAsia"/>
          <w:sz w:val="32"/>
          <w:szCs w:val="32"/>
        </w:rPr>
        <w:t xml:space="preserve">      证明书</w:t>
      </w:r>
    </w:p>
    <w:p w:rsidR="006524C1" w:rsidRPr="006524C1" w:rsidRDefault="006524C1" w:rsidP="00425B4B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524C1" w:rsidRPr="006524C1" w:rsidRDefault="006524C1" w:rsidP="00425B4B">
      <w:pPr>
        <w:spacing w:line="5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6524C1" w:rsidRPr="006524C1" w:rsidRDefault="006524C1" w:rsidP="006524C1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524C1" w:rsidRPr="006524C1" w:rsidRDefault="006524C1" w:rsidP="006524C1">
      <w:pPr>
        <w:spacing w:line="52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6524C1">
        <w:rPr>
          <w:rFonts w:ascii="方正仿宋_GBK" w:eastAsia="方正仿宋_GBK" w:hAnsi="Times New Roman" w:cs="Times New Roman" w:hint="eastAsia"/>
          <w:sz w:val="32"/>
          <w:szCs w:val="32"/>
        </w:rPr>
        <w:t>黄山市住房公积金管理中心     黄山市不动产登记中心</w:t>
      </w:r>
    </w:p>
    <w:p w:rsidR="00525FC7" w:rsidRPr="006524C1" w:rsidRDefault="00525FC7" w:rsidP="006524C1">
      <w:pPr>
        <w:spacing w:line="520" w:lineRule="exact"/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  <w:r w:rsidRPr="00D224BD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6524C1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D224B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524C1"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 w:rsidR="00CF10B3" w:rsidRPr="00D224BD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6524C1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p w:rsidR="00D224BD" w:rsidRDefault="00D224BD" w:rsidP="00525FC7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D224BD" w:rsidRDefault="00D224BD" w:rsidP="00525FC7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D224BD" w:rsidRDefault="00D224BD" w:rsidP="00525FC7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525FC7" w:rsidRPr="006524C1" w:rsidRDefault="00525FC7" w:rsidP="00525FC7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6524C1">
        <w:rPr>
          <w:rFonts w:ascii="方正仿宋_GBK" w:eastAsia="方正仿宋_GBK" w:hAnsi="方正仿宋_GBK" w:cs="方正仿宋_GBK" w:hint="eastAsia"/>
          <w:sz w:val="28"/>
          <w:szCs w:val="28"/>
        </w:rPr>
        <w:t>抄送:省住房和城乡建设厅</w:t>
      </w:r>
    </w:p>
    <w:p w:rsidR="00264E9B" w:rsidRPr="006524C1" w:rsidRDefault="00163A2D">
      <w:pPr>
        <w:rPr>
          <w:rFonts w:ascii="方正仿宋_GBK" w:eastAsia="方正仿宋_GBK" w:hAnsi="方正小标宋_GBK" w:cs="方正小标宋_GBK"/>
          <w:sz w:val="32"/>
          <w:szCs w:val="32"/>
        </w:rPr>
      </w:pPr>
      <w:r w:rsidRPr="006524C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附件：</w:t>
      </w:r>
      <w:bookmarkStart w:id="0" w:name="_GoBack"/>
      <w:bookmarkEnd w:id="0"/>
    </w:p>
    <w:p w:rsidR="00264E9B" w:rsidRDefault="00264E9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64E9B" w:rsidRDefault="00163A2D" w:rsidP="004C224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同意商转公“以贷还贷”方式提前结清</w:t>
      </w:r>
    </w:p>
    <w:p w:rsidR="00264E9B" w:rsidRDefault="00163A2D" w:rsidP="004C224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住房贷款证明书</w:t>
      </w:r>
    </w:p>
    <w:p w:rsidR="00264E9B" w:rsidRDefault="00264E9B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264E9B" w:rsidRPr="005C5FE3" w:rsidRDefault="00163A2D" w:rsidP="004C2248">
      <w:pPr>
        <w:overflowPunct w:val="0"/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黄山市住房公积金管理中心：</w:t>
      </w:r>
    </w:p>
    <w:p w:rsidR="00264E9B" w:rsidRPr="004F6EFB" w:rsidRDefault="00163A2D" w:rsidP="004F6EFB">
      <w:pPr>
        <w:overflowPunct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pacing w:val="-20"/>
          <w:sz w:val="32"/>
          <w:szCs w:val="32"/>
          <w:u w:val="single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借款人: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 w:rsidR="009249F7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(身份证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号码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</w:t>
      </w:r>
      <w:r w:rsid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),联系电话：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。在我行借款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元(借款合同编号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 w:rsidR="004C2248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 w:rsidR="004F6EF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预约还款日结清需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 w:rsidR="005C5FE3" w:rsidRPr="005C5FE3">
        <w:rPr>
          <w:rFonts w:ascii="方正仿宋_GBK" w:eastAsia="方正仿宋_GBK" w:hAnsi="方正仿宋_GBK" w:cs="方正仿宋_GBK" w:hint="eastAsia"/>
          <w:spacing w:val="-20"/>
          <w:sz w:val="32"/>
          <w:szCs w:val="32"/>
          <w:u w:val="single"/>
        </w:rPr>
        <w:t xml:space="preserve">   </w:t>
      </w:r>
      <w:r w:rsidR="004F6EFB">
        <w:rPr>
          <w:rFonts w:ascii="方正仿宋_GBK" w:eastAsia="方正仿宋_GBK" w:hAnsi="方正仿宋_GBK" w:cs="方正仿宋_GBK" w:hint="eastAsia"/>
          <w:spacing w:val="-20"/>
          <w:sz w:val="32"/>
          <w:szCs w:val="32"/>
          <w:u w:val="single"/>
        </w:rPr>
        <w:t xml:space="preserve">  </w:t>
      </w:r>
      <w:r w:rsidRPr="005C5FE3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元</w:t>
      </w:r>
      <w:r w:rsidR="00EF147B"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，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预约还款日暂定为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C5FE3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日，</w:t>
      </w:r>
      <w:r w:rsidR="00EF147B" w:rsidRPr="005C5FE3">
        <w:rPr>
          <w:rFonts w:ascii="方正仿宋_GBK" w:eastAsia="方正仿宋_GBK" w:hAnsi="方正仿宋_GBK" w:cs="方正仿宋_GBK" w:hint="eastAsia"/>
          <w:sz w:val="32"/>
          <w:szCs w:val="32"/>
        </w:rPr>
        <w:t>若我行提前还款政策发生调整，以我行最终确定的还款日期为准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EF147B" w:rsidRPr="005C5FE3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264E9B" w:rsidRPr="005C5FE3" w:rsidRDefault="00163A2D" w:rsidP="00EF147B">
      <w:pPr>
        <w:overflowPunct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我行将及时告知最终确定的还款日期，同意并承诺在收到贵中心放贷资金当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日将资金转入借款人</w:t>
      </w:r>
      <w:r w:rsidR="00EF147B" w:rsidRPr="00EF147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EF147B" w:rsidRPr="00EF147B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EF147B">
        <w:rPr>
          <w:rFonts w:ascii="方正仿宋_GBK" w:eastAsia="方正仿宋_GBK" w:hAnsi="方正仿宋_GBK" w:cs="方正仿宋_GBK" w:hint="eastAsia"/>
          <w:sz w:val="32"/>
          <w:szCs w:val="32"/>
        </w:rPr>
        <w:t>原商业贷款的贷款账号</w:t>
      </w:r>
      <w:r w:rsidR="00EF147B" w:rsidRPr="005C5FE3"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 w:rsidR="00EF147B" w:rsidRPr="005C5FE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</w:t>
      </w:r>
      <w:r w:rsidR="004F6EF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 w:rsidR="00EF147B" w:rsidRPr="005C5FE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提前全部结清其商业贷款。</w:t>
      </w:r>
    </w:p>
    <w:p w:rsidR="00264E9B" w:rsidRPr="005C5FE3" w:rsidRDefault="00163A2D" w:rsidP="004C2248">
      <w:pPr>
        <w:overflowPunct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特此证明。</w:t>
      </w:r>
    </w:p>
    <w:p w:rsidR="00264E9B" w:rsidRPr="005C5FE3" w:rsidRDefault="00264E9B" w:rsidP="004C2248">
      <w:pPr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4C2248" w:rsidRDefault="004C2248" w:rsidP="004C2248">
      <w:pPr>
        <w:spacing w:line="580" w:lineRule="exact"/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</w:p>
    <w:p w:rsidR="004C2248" w:rsidRDefault="004C2248" w:rsidP="004C2248">
      <w:pPr>
        <w:spacing w:line="580" w:lineRule="exact"/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</w:p>
    <w:p w:rsidR="00264E9B" w:rsidRPr="005C5FE3" w:rsidRDefault="00163A2D" w:rsidP="004C2248">
      <w:pPr>
        <w:spacing w:line="580" w:lineRule="exact"/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银行(盖章)</w:t>
      </w:r>
    </w:p>
    <w:p w:rsidR="00264E9B" w:rsidRDefault="00163A2D" w:rsidP="004C2248">
      <w:pPr>
        <w:spacing w:line="580" w:lineRule="exact"/>
        <w:ind w:firstLineChars="400" w:firstLine="128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="004C224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</w:t>
      </w:r>
      <w:r w:rsidR="005C5FE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5C5FE3">
        <w:rPr>
          <w:rFonts w:ascii="方正仿宋_GBK" w:eastAsia="方正仿宋_GBK" w:hAnsi="方正仿宋_GBK" w:cs="方正仿宋_GBK" w:hint="eastAsia"/>
          <w:sz w:val="32"/>
          <w:szCs w:val="32"/>
        </w:rPr>
        <w:t>年   月   日</w:t>
      </w:r>
    </w:p>
    <w:p w:rsidR="004C2248" w:rsidRPr="004C2248" w:rsidRDefault="004C2248" w:rsidP="004C2248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4C2248" w:rsidRPr="004C2248" w:rsidSect="00885FD9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CF" w:rsidRDefault="001B7DCF" w:rsidP="00E946E5">
      <w:r>
        <w:separator/>
      </w:r>
    </w:p>
  </w:endnote>
  <w:endnote w:type="continuationSeparator" w:id="1">
    <w:p w:rsidR="001B7DCF" w:rsidRDefault="001B7DCF" w:rsidP="00E9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382"/>
      <w:docPartObj>
        <w:docPartGallery w:val="Page Numbers (Bottom of Page)"/>
        <w:docPartUnique/>
      </w:docPartObj>
    </w:sdtPr>
    <w:sdtContent>
      <w:p w:rsidR="00885FD9" w:rsidRDefault="002713A1">
        <w:pPr>
          <w:pStyle w:val="a3"/>
          <w:jc w:val="center"/>
        </w:pPr>
        <w:r w:rsidRPr="00885F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5FD9" w:rsidRPr="00885F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5F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3609" w:rsidRPr="0027360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85F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5FD9" w:rsidRDefault="00885F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CF" w:rsidRDefault="001B7DCF" w:rsidP="00E946E5">
      <w:r>
        <w:separator/>
      </w:r>
    </w:p>
  </w:footnote>
  <w:footnote w:type="continuationSeparator" w:id="1">
    <w:p w:rsidR="001B7DCF" w:rsidRDefault="001B7DCF" w:rsidP="00E9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10F4F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0E8714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5F49C9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20C5E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510957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58435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E81EF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32EAF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56D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A294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QzYTNmMmJkOTMwY2E2ZDcwM2YyNmFiMDRhNDcyMzUifQ=="/>
  </w:docVars>
  <w:rsids>
    <w:rsidRoot w:val="628771AF"/>
    <w:rsid w:val="00053DBD"/>
    <w:rsid w:val="00082A63"/>
    <w:rsid w:val="00091842"/>
    <w:rsid w:val="00163A2D"/>
    <w:rsid w:val="001B7DCF"/>
    <w:rsid w:val="00264E9B"/>
    <w:rsid w:val="002713A1"/>
    <w:rsid w:val="00273609"/>
    <w:rsid w:val="002E1482"/>
    <w:rsid w:val="00375A1C"/>
    <w:rsid w:val="003F671A"/>
    <w:rsid w:val="00425B4B"/>
    <w:rsid w:val="0044175B"/>
    <w:rsid w:val="004C2248"/>
    <w:rsid w:val="004F6EFB"/>
    <w:rsid w:val="005109A4"/>
    <w:rsid w:val="005126E6"/>
    <w:rsid w:val="00520D7F"/>
    <w:rsid w:val="00525FC7"/>
    <w:rsid w:val="005C5FE3"/>
    <w:rsid w:val="00607ACE"/>
    <w:rsid w:val="006524C1"/>
    <w:rsid w:val="006743FF"/>
    <w:rsid w:val="006F5CD2"/>
    <w:rsid w:val="007612B2"/>
    <w:rsid w:val="00783BFA"/>
    <w:rsid w:val="007A3275"/>
    <w:rsid w:val="007A3CEC"/>
    <w:rsid w:val="00885FD9"/>
    <w:rsid w:val="009249F7"/>
    <w:rsid w:val="00932CE2"/>
    <w:rsid w:val="00965513"/>
    <w:rsid w:val="009967A4"/>
    <w:rsid w:val="00B10BF9"/>
    <w:rsid w:val="00BF082D"/>
    <w:rsid w:val="00C43A6C"/>
    <w:rsid w:val="00CC3D65"/>
    <w:rsid w:val="00CF10B3"/>
    <w:rsid w:val="00D224BD"/>
    <w:rsid w:val="00D43CBC"/>
    <w:rsid w:val="00E7077C"/>
    <w:rsid w:val="00E90C6C"/>
    <w:rsid w:val="00E946E5"/>
    <w:rsid w:val="00EF147B"/>
    <w:rsid w:val="00EF42B4"/>
    <w:rsid w:val="00F23018"/>
    <w:rsid w:val="00F32C0C"/>
    <w:rsid w:val="00FB137D"/>
    <w:rsid w:val="00FC1E3C"/>
    <w:rsid w:val="0266259D"/>
    <w:rsid w:val="04E356A6"/>
    <w:rsid w:val="05273C7A"/>
    <w:rsid w:val="05D348B2"/>
    <w:rsid w:val="05F67C50"/>
    <w:rsid w:val="06007F0A"/>
    <w:rsid w:val="0A67584B"/>
    <w:rsid w:val="0AD83203"/>
    <w:rsid w:val="0B1834BF"/>
    <w:rsid w:val="0C2B42A4"/>
    <w:rsid w:val="0D247D02"/>
    <w:rsid w:val="0D2C3CDA"/>
    <w:rsid w:val="0D350DE1"/>
    <w:rsid w:val="0D5D1CC3"/>
    <w:rsid w:val="0FCB1080"/>
    <w:rsid w:val="105C3294"/>
    <w:rsid w:val="1A873186"/>
    <w:rsid w:val="1B776A68"/>
    <w:rsid w:val="1D5D7B3E"/>
    <w:rsid w:val="1E1B724E"/>
    <w:rsid w:val="1ECC5CBA"/>
    <w:rsid w:val="20957F4B"/>
    <w:rsid w:val="2444040C"/>
    <w:rsid w:val="2457471E"/>
    <w:rsid w:val="24824873"/>
    <w:rsid w:val="24C83608"/>
    <w:rsid w:val="24DB5972"/>
    <w:rsid w:val="252376F3"/>
    <w:rsid w:val="25AA60AC"/>
    <w:rsid w:val="26DA1A37"/>
    <w:rsid w:val="289960D8"/>
    <w:rsid w:val="2A8F54F1"/>
    <w:rsid w:val="2EA122FB"/>
    <w:rsid w:val="2F361A4C"/>
    <w:rsid w:val="30A95D98"/>
    <w:rsid w:val="31AE23F6"/>
    <w:rsid w:val="31EE76D5"/>
    <w:rsid w:val="32EA1B59"/>
    <w:rsid w:val="340B5BC0"/>
    <w:rsid w:val="3417665F"/>
    <w:rsid w:val="34D0319D"/>
    <w:rsid w:val="354B0EDB"/>
    <w:rsid w:val="361816E5"/>
    <w:rsid w:val="3A205438"/>
    <w:rsid w:val="3BB754C5"/>
    <w:rsid w:val="426059CE"/>
    <w:rsid w:val="429531AD"/>
    <w:rsid w:val="432F3601"/>
    <w:rsid w:val="465810C1"/>
    <w:rsid w:val="47415C9D"/>
    <w:rsid w:val="49A63CF4"/>
    <w:rsid w:val="4A4D2F26"/>
    <w:rsid w:val="4B577126"/>
    <w:rsid w:val="4BC91852"/>
    <w:rsid w:val="4D584A0E"/>
    <w:rsid w:val="4F041DE6"/>
    <w:rsid w:val="4F3D0E54"/>
    <w:rsid w:val="52A35024"/>
    <w:rsid w:val="53A66D83"/>
    <w:rsid w:val="55076432"/>
    <w:rsid w:val="55E5390A"/>
    <w:rsid w:val="56145C7B"/>
    <w:rsid w:val="574A080E"/>
    <w:rsid w:val="586D4D1D"/>
    <w:rsid w:val="5A361994"/>
    <w:rsid w:val="5B2E4D4E"/>
    <w:rsid w:val="5BB93F58"/>
    <w:rsid w:val="5CBC376F"/>
    <w:rsid w:val="5D1A5849"/>
    <w:rsid w:val="60266763"/>
    <w:rsid w:val="628771AF"/>
    <w:rsid w:val="629D0130"/>
    <w:rsid w:val="632A7FE1"/>
    <w:rsid w:val="6387565B"/>
    <w:rsid w:val="64E068FD"/>
    <w:rsid w:val="65FD56C7"/>
    <w:rsid w:val="69034A64"/>
    <w:rsid w:val="6B7709AE"/>
    <w:rsid w:val="6D302BE4"/>
    <w:rsid w:val="6EF303D4"/>
    <w:rsid w:val="711E068D"/>
    <w:rsid w:val="76E539FB"/>
    <w:rsid w:val="77803174"/>
    <w:rsid w:val="784573CC"/>
    <w:rsid w:val="79091D88"/>
    <w:rsid w:val="79C212FA"/>
    <w:rsid w:val="79D66800"/>
    <w:rsid w:val="7C225944"/>
    <w:rsid w:val="7E3C7EC7"/>
    <w:rsid w:val="7F56128E"/>
    <w:rsid w:val="7F852D2B"/>
    <w:rsid w:val="7F884A36"/>
    <w:rsid w:val="7FCF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E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6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64E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4E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11</cp:lastModifiedBy>
  <cp:revision>17</cp:revision>
  <cp:lastPrinted>2024-02-09T01:27:00Z</cp:lastPrinted>
  <dcterms:created xsi:type="dcterms:W3CDTF">2024-02-06T08:53:00Z</dcterms:created>
  <dcterms:modified xsi:type="dcterms:W3CDTF">2024-02-09T04:00:00Z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E68EB12242BC4FF3887A21A02896AF6D_13</vt:lpwstr>
  </property>
</Properties>
</file>