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313" w:afterLines="100" w:line="540" w:lineRule="exact"/>
        <w:jc w:val="center"/>
        <w:textAlignment w:val="auto"/>
        <w:outlineLvl w:val="9"/>
        <w:rPr>
          <w:rFonts w:hint="eastAsia" w:ascii="方正小标宋_GBK" w:hAnsi="Arial" w:eastAsia="方正小标宋_GBK" w:cs="Arial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313" w:afterLines="100" w:line="540" w:lineRule="exact"/>
        <w:jc w:val="center"/>
        <w:textAlignment w:val="auto"/>
        <w:outlineLvl w:val="9"/>
        <w:rPr>
          <w:rFonts w:hint="eastAsia" w:ascii="方正小标宋_GBK" w:hAnsi="Arial" w:eastAsia="方正小标宋_GBK" w:cs="Arial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313" w:afterLines="100" w:line="540" w:lineRule="exact"/>
        <w:jc w:val="center"/>
        <w:textAlignment w:val="auto"/>
        <w:outlineLvl w:val="9"/>
        <w:rPr>
          <w:rFonts w:hint="eastAsia" w:ascii="方正小标宋_GBK" w:hAnsi="Arial" w:eastAsia="方正小标宋_GBK" w:cs="Arial"/>
          <w:sz w:val="44"/>
          <w:szCs w:val="44"/>
        </w:rPr>
      </w:pPr>
      <w:r>
        <w:rPr>
          <w:rFonts w:hint="eastAsia" w:ascii="方正小标宋_GBK" w:hAnsi="Arial" w:eastAsia="方正小标宋_GBK" w:cs="Arial"/>
          <w:sz w:val="44"/>
          <w:szCs w:val="44"/>
          <w:lang w:eastAsia="zh-CN"/>
        </w:rPr>
        <w:t>市公积金中心“事业发展支出”</w:t>
      </w:r>
      <w:r>
        <w:rPr>
          <w:rFonts w:hint="eastAsia" w:ascii="方正小标宋_GBK" w:hAnsi="Arial" w:eastAsia="方正小标宋_GBK" w:cs="Arial"/>
          <w:sz w:val="44"/>
          <w:szCs w:val="44"/>
        </w:rPr>
        <w:t>项目支出绩效评价报告</w:t>
      </w:r>
    </w:p>
    <w:p>
      <w:pPr>
        <w:spacing w:line="540" w:lineRule="exact"/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根据财政部《项目支出绩效评价管理办法》（财预</w:t>
      </w:r>
      <w:bookmarkStart w:id="0" w:name="文号"/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号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）和黄山市《黄山市市级项目支出绩效财政评价和部门评价操作规程》（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黄财绩函〔202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108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）要求，我管理中心选择“事业发展支出”项目进行部门绩效评价，现将该项目情况报告如下：</w:t>
      </w:r>
    </w:p>
    <w:p>
      <w:pPr>
        <w:spacing w:line="540" w:lineRule="exact"/>
        <w:ind w:firstLine="60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</w:t>
      </w:r>
      <w:r>
        <w:rPr>
          <w:rFonts w:ascii="黑体" w:hAnsi="黑体" w:eastAsia="黑体" w:cs="黑体"/>
          <w:sz w:val="32"/>
          <w:szCs w:val="32"/>
        </w:rPr>
        <w:t>基本情况</w:t>
      </w:r>
    </w:p>
    <w:p>
      <w:pPr>
        <w:spacing w:line="540" w:lineRule="exact"/>
        <w:ind w:firstLine="6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（一）项目概况</w:t>
      </w:r>
    </w:p>
    <w:p>
      <w:pPr>
        <w:spacing w:line="540" w:lineRule="exact"/>
        <w:ind w:firstLine="6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ascii="仿宋_GB2312" w:hAnsi="仿宋_GB2312" w:eastAsia="仿宋_GB2312" w:cs="仿宋_GB2312"/>
          <w:sz w:val="32"/>
          <w:szCs w:val="32"/>
        </w:rPr>
        <w:t>背景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 w:firstLineChars="200"/>
        <w:textAlignment w:val="auto"/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</w:pPr>
      <w:r>
        <w:rPr>
          <w:rFonts w:ascii="仿宋" w:hAnsi="仿宋" w:eastAsia="仿宋" w:cs="宋体"/>
          <w:color w:val="000000"/>
          <w:kern w:val="0"/>
          <w:sz w:val="32"/>
          <w:szCs w:val="32"/>
        </w:rPr>
        <w:t>黄山市住房公积金管理中心是直属市政府事业单位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，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内设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6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个科室，下设6个区县管理部，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各部门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实行统一规章制度、统一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预算、统一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核算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主要职责是：编制、执行住房公积金的归集、使用计划；负责记载职工住房公积金的缴存、提取、使用等情况；负责住房公积金的核算；审批住房公积金的提取、使用；负责住房公积金的保值和归还；编制住房公积金归集、使用计划执行情况的报告；承办住房公积金管理委员会决定的其他事项；负责代为记载原房改资金；承办市人民政府及上级业务主管部门交办的其他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eastAsia="zh-CN"/>
        </w:rPr>
        <w:t>事项。</w:t>
      </w:r>
    </w:p>
    <w:p>
      <w:pPr>
        <w:numPr>
          <w:ilvl w:val="0"/>
          <w:numId w:val="0"/>
        </w:numPr>
        <w:spacing w:line="54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540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</w:t>
      </w:r>
      <w:r>
        <w:rPr>
          <w:rFonts w:ascii="仿宋_GB2312" w:hAnsi="仿宋_GB2312" w:eastAsia="仿宋_GB2312" w:cs="仿宋_GB2312"/>
          <w:sz w:val="32"/>
          <w:szCs w:val="32"/>
        </w:rPr>
        <w:t>内容及实施情况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该项目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主要用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市本级及6个区县管理部日常管理工作经费，保障单位正常运行，促进公积金业务发展。主要有职教费、培训费、电信租赁费、宣传费、乡村振兴等专项业务费用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等支出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项目自20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月起执行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spacing w:line="540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ascii="仿宋_GB2312" w:hAnsi="仿宋_GB2312" w:eastAsia="仿宋_GB2312" w:cs="仿宋_GB2312"/>
          <w:sz w:val="32"/>
          <w:szCs w:val="32"/>
        </w:rPr>
        <w:t>资金投入和使用情况等</w:t>
      </w:r>
    </w:p>
    <w:p>
      <w:pPr>
        <w:numPr>
          <w:ilvl w:val="0"/>
          <w:numId w:val="0"/>
        </w:numPr>
        <w:spacing w:line="540" w:lineRule="exact"/>
        <w:outlineLvl w:val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年预算安排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事业发展支出项目支出243.54万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元。经预算调整后，全年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财政拨款预算数213.40万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元，实际支出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209.20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万元。</w:t>
      </w:r>
    </w:p>
    <w:p>
      <w:pPr>
        <w:numPr>
          <w:ilvl w:val="0"/>
          <w:numId w:val="1"/>
        </w:numPr>
        <w:spacing w:line="540" w:lineRule="exact"/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项目绩效目标</w:t>
      </w:r>
    </w:p>
    <w:p>
      <w:pPr>
        <w:spacing w:line="540" w:lineRule="exact"/>
        <w:ind w:firstLine="600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根据市委市政府相关文件要求，做好扶贫创城的相关工作，同时用于单位公用业务支出，保障日常业务开展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；能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较好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地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保障公积金宣传、乡村振兴帮扶、社区共建等工作，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促进全市住房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公积金业务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发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展。</w:t>
      </w:r>
    </w:p>
    <w:p>
      <w:pPr>
        <w:spacing w:line="540" w:lineRule="exact"/>
        <w:ind w:firstLine="60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（一）绩效评价目的、对象和范围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本次绩效评价对象为“事业发展支出”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项目，研究分析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决策情况、资金管理和使用情况，相关管理制度办法的建立、健全及执行情况，实现产出情况、取得效益情况等，通过具体分析项目的产出、效益和服务对象满意度情况，总结该项目实施以来的有效经验和存在问题，进一步形成制度健全、管理规范、工作高效的运行机制，为今后项目建设实施提供重要参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ascii="仿宋_GB2312" w:hAnsi="仿宋_GB2312" w:eastAsia="仿宋_GB2312" w:cs="仿宋_GB2312"/>
          <w:sz w:val="32"/>
          <w:szCs w:val="32"/>
        </w:rPr>
        <w:t>绩效评价原则、评价指标体系（附表说明）、评价方法、评价标准等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评价遵循科学公正、统筹兼顾、公开透明的原则，按照规范程序对项目绩效进行客观、公正的反映，依法依规公开，自觉接受社会监督。评价运用成本效益分析法，采用计划标准，以预先制定的目标、计划、预算、定额等作为评价标准，与项目完成情况进行比较。</w:t>
      </w:r>
    </w:p>
    <w:p>
      <w:pPr>
        <w:numPr>
          <w:ilvl w:val="0"/>
          <w:numId w:val="1"/>
        </w:numPr>
        <w:spacing w:line="540" w:lineRule="exact"/>
        <w:ind w:left="0" w:leftChars="0" w:firstLine="600"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绩效评价工作过程</w:t>
      </w:r>
    </w:p>
    <w:p>
      <w:pPr>
        <w:spacing w:line="560" w:lineRule="exact"/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本次评价采用全面评价和重点评价相结合，通过比较法，围绕项目实施情况与绩效目标、不同地区同类支出情况等进行综合比较，对决策、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、产出和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效益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四个方面进行综合评价。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ascii="黑体" w:hAnsi="黑体" w:eastAsia="黑体" w:cs="黑体"/>
          <w:sz w:val="32"/>
          <w:szCs w:val="32"/>
        </w:rPr>
        <w:t>综合评价情况及评价结论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经综合评定，认为事业发展支出综合评价得分99.80分，项目总体达到预期效果。</w:t>
      </w:r>
    </w:p>
    <w:p>
      <w:pPr>
        <w:spacing w:line="540" w:lineRule="exact"/>
        <w:ind w:firstLine="60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（一）项目决策情况。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项目资金全年预算数213.40万元，且按照项目目标制定了相应的资金使用计划，项目总实际支出209.20万元，资金执行率98.03%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详见附件《项目支出绩效自评表》。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（二）项目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过程</w:t>
      </w:r>
      <w:r>
        <w:rPr>
          <w:rFonts w:ascii="仿宋_GB2312" w:hAnsi="仿宋_GB2312" w:eastAsia="仿宋_GB2312" w:cs="仿宋_GB2312"/>
          <w:sz w:val="32"/>
          <w:szCs w:val="32"/>
        </w:rPr>
        <w:t>情况。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项目执行过程严格按照项目管理和财务管理制度要求落实。</w:t>
      </w:r>
    </w:p>
    <w:p>
      <w:pPr>
        <w:spacing w:line="540" w:lineRule="exact"/>
        <w:ind w:firstLine="6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（三）项目产出情况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1．产出数量指标情况分析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住房公积金各项业务办理覆盖黄山市全域，包含三区四县。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2．产出质量指标情况分析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保障公积金业务开展，做好扩面宣传，提升公积金形象能基本达到预期，经费支出合规。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3．产出时效指标情况分析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60" w:lineRule="exact"/>
        <w:ind w:left="0" w:right="0" w:firstLine="1280" w:firstLineChars="4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按照项目进度支付款项，已于2022年底前全部完成。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60" w:lineRule="exact"/>
        <w:ind w:left="0" w:righ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4.成本指标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情况分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析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60" w:lineRule="exact"/>
        <w:ind w:left="0" w:right="0" w:firstLine="1280" w:firstLineChars="400"/>
        <w:jc w:val="left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依据项目序时进度及合同约定按实际支付，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未超过预算成本。</w:t>
      </w:r>
    </w:p>
    <w:p>
      <w:pPr>
        <w:numPr>
          <w:ilvl w:val="0"/>
          <w:numId w:val="1"/>
        </w:numPr>
        <w:spacing w:line="540" w:lineRule="exact"/>
        <w:ind w:left="0" w:leftChars="0" w:firstLine="600" w:firstLineChars="0"/>
        <w:outlineLvl w:val="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ascii="仿宋_GB2312" w:hAnsi="仿宋_GB2312" w:eastAsia="仿宋_GB2312" w:cs="仿宋_GB2312"/>
          <w:sz w:val="32"/>
          <w:szCs w:val="32"/>
          <w:highlight w:val="none"/>
        </w:rPr>
        <w:t>项目效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益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效益包括经济、社会、生态、可持续影响四个指标。主要包括对保障公积金业务开展，增加扩面归集，提高公积金使用效率，增加增值收益；做好住房公积金宣传，做好公积金事业发展及关乎社会发展的扶贫创城等相关工作；对减少硬件能耗支出，实现节能减排的影响程度；切实保障合理住房消费。</w:t>
      </w:r>
    </w:p>
    <w:p>
      <w:pPr>
        <w:numPr>
          <w:ilvl w:val="0"/>
          <w:numId w:val="0"/>
        </w:numPr>
        <w:spacing w:line="540" w:lineRule="exact"/>
        <w:ind w:left="600" w:leftChars="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五、</w:t>
      </w:r>
      <w:r>
        <w:rPr>
          <w:rFonts w:ascii="黑体" w:hAnsi="黑体" w:eastAsia="黑体" w:cs="黑体"/>
          <w:sz w:val="32"/>
          <w:szCs w:val="32"/>
          <w:highlight w:val="none"/>
        </w:rPr>
        <w:t>主要经验及做法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科学决策。为落实要求，中心精心筹划、科学论证，经集体研究纳入2022年预算安排，经市财政预算批复后予以执行。</w:t>
      </w:r>
    </w:p>
    <w:p>
      <w:pPr>
        <w:numPr>
          <w:ilvl w:val="0"/>
          <w:numId w:val="0"/>
        </w:numPr>
        <w:spacing w:line="540" w:lineRule="exact"/>
        <w:ind w:left="600" w:leftChars="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六、</w:t>
      </w:r>
      <w:r>
        <w:rPr>
          <w:rFonts w:ascii="黑体" w:hAnsi="黑体" w:eastAsia="黑体" w:cs="黑体"/>
          <w:sz w:val="32"/>
          <w:szCs w:val="32"/>
          <w:highlight w:val="none"/>
        </w:rPr>
        <w:t>存在问题及原因分析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项目自评绩效目标设置偏少，与预期产出结合不紧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主要原因是对绩效目标设置认识还不够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，需进一步加强业务学习。</w:t>
      </w:r>
    </w:p>
    <w:p>
      <w:pPr>
        <w:widowControl w:val="0"/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ascii="黑体" w:hAnsi="黑体" w:eastAsia="黑体" w:cs="黑体"/>
          <w:sz w:val="32"/>
          <w:szCs w:val="32"/>
          <w:highlight w:val="none"/>
        </w:rPr>
        <w:t>七、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进一步完善预算绩效管理制度。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把绩效目标作为项目实施的前置条件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，结合公积金业务特点设置更加科学合理的绩效指标，从而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提高资金使用的合理性和科学性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为资金资产的合理配置提供有效依据。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atLeas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atLeas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atLeast"/>
        <w:ind w:left="0" w:leftChars="0" w:right="0" w:rightChars="0" w:firstLine="640" w:firstLineChars="20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黄山市住房公积金管理中心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atLeast"/>
        <w:ind w:left="0" w:leftChars="0" w:right="0" w:rightChars="0" w:firstLine="6080" w:firstLineChars="19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2155" w:right="1531" w:bottom="1418" w:left="1588" w:header="737" w:footer="851" w:gutter="0"/>
          <w:cols w:space="720" w:num="1"/>
          <w:docGrid w:type="lines" w:linePitch="312" w:charSpace="6144"/>
        </w:sect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2023年6月30日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D944EA38-EF37-4824-9A29-2AF4E8FF370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3F0E769-E62C-4544-BC58-FC214451162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375E8B8D-EEB6-47BF-B2D1-E0A96B09D942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AB04A731-6B40-4A7A-A9B7-C3E48342DA5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E2E855C-9436-42FE-8704-258A137F60E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CE94F81F-D3CE-4858-B138-1105BAADB94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693460"/>
    <w:multiLevelType w:val="singleLevel"/>
    <w:tmpl w:val="9A69346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iOTgyZWFjODc1OGFiZjAxZDc3NDgwM2M0ZjFhMjAifQ=="/>
  </w:docVars>
  <w:rsids>
    <w:rsidRoot w:val="3F7E1BDB"/>
    <w:rsid w:val="117B7BA3"/>
    <w:rsid w:val="1DD71A40"/>
    <w:rsid w:val="25E62821"/>
    <w:rsid w:val="26ED7BDF"/>
    <w:rsid w:val="38B84141"/>
    <w:rsid w:val="3F7E1BDB"/>
    <w:rsid w:val="4C4C733F"/>
    <w:rsid w:val="4FD74E04"/>
    <w:rsid w:val="59FB5B93"/>
    <w:rsid w:val="5A101373"/>
    <w:rsid w:val="5E5940C5"/>
    <w:rsid w:val="60BB607C"/>
    <w:rsid w:val="65654809"/>
    <w:rsid w:val="70F03058"/>
    <w:rsid w:val="784F737E"/>
    <w:rsid w:val="7BA14395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autoSpaceDE w:val="0"/>
      <w:autoSpaceDN w:val="0"/>
      <w:jc w:val="both"/>
    </w:pPr>
    <w:rPr>
      <w:rFonts w:ascii="Calibri" w:hAnsi="宋体" w:eastAsia="宋体" w:cs="宋体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1782</Words>
  <Characters>1845</Characters>
  <Lines>0</Lines>
  <Paragraphs>0</Paragraphs>
  <TotalTime>10</TotalTime>
  <ScaleCrop>false</ScaleCrop>
  <LinksUpToDate>false</LinksUpToDate>
  <CharactersWithSpaces>1849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2023-06-28T00:50:00Z</dcterms:created>
  <dc:creator>sunshine</dc:creator>
  <cp:lastModifiedBy>sunshine</cp:lastModifiedBy>
  <dcterms:modified xsi:type="dcterms:W3CDTF">2023-06-28T02:52:16Z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53BED6A4D95E44668A07F00516E19C83_11</vt:lpwstr>
  </property>
</Properties>
</file>