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206E25">
      <w:pPr>
        <w:jc w:val="both"/>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eastAsia="zh-CN"/>
        </w:rPr>
        <w:t>附件</w:t>
      </w:r>
      <w:r>
        <w:rPr>
          <w:rFonts w:hint="eastAsia" w:ascii="仿宋" w:hAnsi="仿宋" w:eastAsia="仿宋" w:cs="仿宋"/>
          <w:b w:val="0"/>
          <w:bCs/>
          <w:color w:val="auto"/>
          <w:sz w:val="32"/>
          <w:szCs w:val="32"/>
          <w:lang w:val="en-US" w:eastAsia="zh-CN"/>
        </w:rPr>
        <w:t>2：部门三公经费公开</w:t>
      </w:r>
    </w:p>
    <w:p w14:paraId="1C7C4AB3">
      <w:pPr>
        <w:pStyle w:val="2"/>
        <w:rPr>
          <w:rFonts w:hint="default"/>
          <w:lang w:val="en-US" w:eastAsia="zh-CN"/>
        </w:rPr>
      </w:pPr>
    </w:p>
    <w:p w14:paraId="4E253C92">
      <w:pPr>
        <w:jc w:val="center"/>
        <w:rPr>
          <w:rFonts w:hint="eastAsia" w:ascii="楷体_GB2312" w:eastAsia="楷体_GB2312"/>
          <w:color w:val="auto"/>
          <w:szCs w:val="32"/>
          <w:lang w:eastAsia="zh-CN"/>
        </w:rPr>
      </w:pPr>
      <w:r>
        <w:rPr>
          <w:rFonts w:hint="eastAsia" w:ascii="宋体" w:hAnsi="宋体"/>
          <w:b/>
          <w:color w:val="auto"/>
          <w:sz w:val="36"/>
          <w:szCs w:val="36"/>
          <w:lang w:eastAsia="zh-CN"/>
        </w:rPr>
        <w:t>黄山市住房公积金管理中心202</w:t>
      </w:r>
      <w:r>
        <w:rPr>
          <w:rFonts w:hint="eastAsia" w:ascii="宋体" w:hAnsi="宋体"/>
          <w:b/>
          <w:color w:val="auto"/>
          <w:sz w:val="36"/>
          <w:szCs w:val="36"/>
          <w:lang w:val="en-US" w:eastAsia="zh-CN"/>
        </w:rPr>
        <w:t>3</w:t>
      </w:r>
      <w:r>
        <w:rPr>
          <w:rFonts w:ascii="宋体" w:hAnsi="宋体"/>
          <w:b/>
          <w:color w:val="auto"/>
          <w:sz w:val="36"/>
          <w:szCs w:val="36"/>
        </w:rPr>
        <w:t>年</w:t>
      </w:r>
      <w:r>
        <w:rPr>
          <w:rFonts w:hint="eastAsia" w:ascii="宋体" w:hAnsi="宋体"/>
          <w:b/>
          <w:color w:val="auto"/>
          <w:sz w:val="36"/>
          <w:szCs w:val="36"/>
        </w:rPr>
        <w:t>度一般公共预算财政拨款</w:t>
      </w:r>
      <w:r>
        <w:rPr>
          <w:rFonts w:ascii="宋体" w:hAnsi="宋体"/>
          <w:b/>
          <w:color w:val="auto"/>
          <w:sz w:val="36"/>
          <w:szCs w:val="36"/>
        </w:rPr>
        <w:t>“三公</w:t>
      </w:r>
      <w:r>
        <w:rPr>
          <w:rFonts w:hint="eastAsia" w:ascii="宋体" w:hAnsi="宋体"/>
          <w:b/>
          <w:color w:val="auto"/>
          <w:sz w:val="36"/>
          <w:szCs w:val="36"/>
        </w:rPr>
        <w:t>”</w:t>
      </w:r>
      <w:r>
        <w:rPr>
          <w:rFonts w:ascii="宋体" w:hAnsi="宋体"/>
          <w:b/>
          <w:color w:val="auto"/>
          <w:sz w:val="36"/>
          <w:szCs w:val="36"/>
        </w:rPr>
        <w:t>经费</w:t>
      </w:r>
      <w:r>
        <w:rPr>
          <w:rFonts w:hint="eastAsia" w:ascii="宋体" w:hAnsi="宋体"/>
          <w:b/>
          <w:color w:val="auto"/>
          <w:sz w:val="36"/>
          <w:szCs w:val="36"/>
        </w:rPr>
        <w:t>支出决算</w:t>
      </w:r>
    </w:p>
    <w:p w14:paraId="3D3C9BD3">
      <w:pPr>
        <w:adjustRightInd w:val="0"/>
        <w:snapToGrid w:val="0"/>
        <w:spacing w:line="360" w:lineRule="auto"/>
        <w:jc w:val="center"/>
        <w:rPr>
          <w:rFonts w:hint="eastAsia" w:ascii="宋体" w:hAnsi="宋体"/>
          <w:color w:val="auto"/>
          <w:sz w:val="6"/>
          <w:szCs w:val="32"/>
        </w:rPr>
      </w:pPr>
    </w:p>
    <w:p w14:paraId="0ACBAED4">
      <w:pPr>
        <w:rPr>
          <w:rFonts w:hint="eastAsia" w:ascii="黑体" w:hAnsi="黑体" w:eastAsia="黑体"/>
          <w:color w:val="auto"/>
          <w:szCs w:val="32"/>
        </w:rPr>
      </w:pPr>
      <w:r>
        <w:rPr>
          <w:rFonts w:ascii="黑体" w:hAnsi="黑体" w:eastAsia="黑体"/>
          <w:color w:val="auto"/>
          <w:szCs w:val="32"/>
        </w:rPr>
        <w:t xml:space="preserve">    </w:t>
      </w:r>
      <w:r>
        <w:rPr>
          <w:rFonts w:hint="eastAsia" w:ascii="黑体" w:hAnsi="黑体" w:eastAsia="黑体"/>
          <w:color w:val="auto"/>
          <w:szCs w:val="32"/>
        </w:rPr>
        <w:t>一、</w:t>
      </w:r>
      <w:r>
        <w:rPr>
          <w:rFonts w:hint="eastAsia" w:ascii="黑体" w:hAnsi="黑体" w:eastAsia="黑体"/>
          <w:color w:val="auto"/>
          <w:szCs w:val="32"/>
          <w:lang w:eastAsia="zh-CN"/>
        </w:rPr>
        <w:t>202</w:t>
      </w:r>
      <w:r>
        <w:rPr>
          <w:rFonts w:hint="eastAsia" w:ascii="黑体" w:hAnsi="黑体" w:eastAsia="黑体"/>
          <w:color w:val="auto"/>
          <w:szCs w:val="32"/>
          <w:lang w:val="en-US" w:eastAsia="zh-CN"/>
        </w:rPr>
        <w:t>3</w:t>
      </w:r>
      <w:r>
        <w:rPr>
          <w:rFonts w:hint="eastAsia" w:ascii="黑体" w:hAnsi="黑体" w:eastAsia="黑体"/>
          <w:color w:val="auto"/>
          <w:szCs w:val="32"/>
        </w:rPr>
        <w:t>年度一般公共预算财政拨款“三公”经费支出决算表</w:t>
      </w:r>
    </w:p>
    <w:p w14:paraId="4ECF93EF">
      <w:pPr>
        <w:jc w:val="right"/>
        <w:rPr>
          <w:rFonts w:hint="eastAsia" w:ascii="黑体" w:hAnsi="黑体" w:eastAsia="黑体"/>
          <w:color w:val="auto"/>
          <w:szCs w:val="32"/>
        </w:rPr>
      </w:pPr>
      <w:r>
        <w:rPr>
          <w:rFonts w:hint="eastAsia" w:ascii="仿宋_GB2312" w:hAnsi="仿宋_GB2312" w:cs="仿宋_GB2312"/>
          <w:color w:val="auto"/>
          <w:szCs w:val="32"/>
        </w:rPr>
        <w:t>单位：万元</w:t>
      </w:r>
    </w:p>
    <w:tbl>
      <w:tblPr>
        <w:tblStyle w:val="3"/>
        <w:tblpPr w:leftFromText="180" w:rightFromText="180" w:vertAnchor="text" w:horzAnchor="margin" w:tblpY="454"/>
        <w:tblOverlap w:val="never"/>
        <w:tblW w:w="0" w:type="auto"/>
        <w:tblInd w:w="0" w:type="dxa"/>
        <w:tblLayout w:type="fixed"/>
        <w:tblCellMar>
          <w:top w:w="0" w:type="dxa"/>
          <w:left w:w="108" w:type="dxa"/>
          <w:bottom w:w="0" w:type="dxa"/>
          <w:right w:w="108" w:type="dxa"/>
        </w:tblCellMar>
      </w:tblPr>
      <w:tblGrid>
        <w:gridCol w:w="4379"/>
        <w:gridCol w:w="2157"/>
        <w:gridCol w:w="2220"/>
      </w:tblGrid>
      <w:tr w14:paraId="5D5DAAD6">
        <w:tblPrEx>
          <w:tblCellMar>
            <w:top w:w="0" w:type="dxa"/>
            <w:left w:w="108" w:type="dxa"/>
            <w:bottom w:w="0" w:type="dxa"/>
            <w:right w:w="108" w:type="dxa"/>
          </w:tblCellMar>
        </w:tblPrEx>
        <w:trPr>
          <w:trHeight w:val="397" w:hRule="atLeast"/>
        </w:trPr>
        <w:tc>
          <w:tcPr>
            <w:tcW w:w="4379" w:type="dxa"/>
            <w:tcBorders>
              <w:top w:val="single" w:color="auto" w:sz="4" w:space="0"/>
              <w:left w:val="single" w:color="auto" w:sz="4" w:space="0"/>
              <w:bottom w:val="single" w:color="auto" w:sz="4" w:space="0"/>
              <w:right w:val="single" w:color="auto" w:sz="4" w:space="0"/>
            </w:tcBorders>
            <w:noWrap w:val="0"/>
            <w:vAlign w:val="center"/>
          </w:tcPr>
          <w:p w14:paraId="45CCA22B">
            <w:pPr>
              <w:widowControl/>
              <w:jc w:val="center"/>
              <w:rPr>
                <w:rFonts w:ascii="宋体" w:hAnsi="宋体" w:cs="宋体"/>
                <w:b/>
                <w:bCs/>
                <w:color w:val="auto"/>
                <w:kern w:val="0"/>
                <w:szCs w:val="21"/>
              </w:rPr>
            </w:pPr>
            <w:r>
              <w:rPr>
                <w:rFonts w:hint="eastAsia" w:ascii="宋体" w:hAnsi="宋体" w:cs="宋体"/>
                <w:b/>
                <w:bCs/>
                <w:color w:val="auto"/>
                <w:kern w:val="0"/>
                <w:szCs w:val="21"/>
              </w:rPr>
              <w:t>项  目</w:t>
            </w:r>
          </w:p>
        </w:tc>
        <w:tc>
          <w:tcPr>
            <w:tcW w:w="2157" w:type="dxa"/>
            <w:tcBorders>
              <w:top w:val="single" w:color="auto" w:sz="4" w:space="0"/>
              <w:left w:val="nil"/>
              <w:bottom w:val="single" w:color="auto" w:sz="4" w:space="0"/>
              <w:right w:val="single" w:color="auto" w:sz="4" w:space="0"/>
            </w:tcBorders>
            <w:noWrap w:val="0"/>
            <w:vAlign w:val="center"/>
          </w:tcPr>
          <w:p w14:paraId="1443358C">
            <w:pPr>
              <w:widowControl/>
              <w:jc w:val="center"/>
              <w:rPr>
                <w:rFonts w:ascii="宋体" w:hAnsi="宋体" w:cs="宋体"/>
                <w:b/>
                <w:bCs/>
                <w:color w:val="auto"/>
                <w:kern w:val="0"/>
                <w:szCs w:val="21"/>
              </w:rPr>
            </w:pPr>
            <w:r>
              <w:rPr>
                <w:rFonts w:hint="eastAsia" w:ascii="宋体" w:hAnsi="宋体" w:cs="宋体"/>
                <w:b/>
                <w:bCs/>
                <w:color w:val="auto"/>
                <w:kern w:val="0"/>
                <w:szCs w:val="21"/>
              </w:rPr>
              <w:t>预 算 数</w:t>
            </w:r>
          </w:p>
        </w:tc>
        <w:tc>
          <w:tcPr>
            <w:tcW w:w="2220" w:type="dxa"/>
            <w:tcBorders>
              <w:top w:val="single" w:color="auto" w:sz="4" w:space="0"/>
              <w:left w:val="nil"/>
              <w:bottom w:val="single" w:color="auto" w:sz="4" w:space="0"/>
              <w:right w:val="single" w:color="auto" w:sz="4" w:space="0"/>
            </w:tcBorders>
            <w:noWrap w:val="0"/>
            <w:vAlign w:val="center"/>
          </w:tcPr>
          <w:p w14:paraId="637B7AD5">
            <w:pPr>
              <w:widowControl/>
              <w:jc w:val="center"/>
              <w:rPr>
                <w:rFonts w:ascii="宋体" w:hAnsi="宋体" w:cs="宋体"/>
                <w:b/>
                <w:bCs/>
                <w:color w:val="auto"/>
                <w:kern w:val="0"/>
                <w:szCs w:val="21"/>
              </w:rPr>
            </w:pPr>
            <w:r>
              <w:rPr>
                <w:rFonts w:hint="eastAsia" w:ascii="宋体" w:hAnsi="宋体" w:cs="宋体"/>
                <w:b/>
                <w:bCs/>
                <w:color w:val="auto"/>
                <w:kern w:val="0"/>
                <w:szCs w:val="21"/>
              </w:rPr>
              <w:t>决 算 数</w:t>
            </w:r>
          </w:p>
        </w:tc>
      </w:tr>
      <w:tr w14:paraId="615709F9">
        <w:tblPrEx>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noWrap w:val="0"/>
            <w:vAlign w:val="center"/>
          </w:tcPr>
          <w:p w14:paraId="2287E850">
            <w:pPr>
              <w:widowControl/>
              <w:jc w:val="center"/>
              <w:rPr>
                <w:rFonts w:ascii="宋体" w:hAnsi="宋体" w:cs="宋体"/>
                <w:b/>
                <w:bCs/>
                <w:color w:val="auto"/>
                <w:kern w:val="0"/>
                <w:szCs w:val="21"/>
              </w:rPr>
            </w:pPr>
            <w:r>
              <w:rPr>
                <w:rFonts w:hint="eastAsia" w:ascii="宋体" w:hAnsi="宋体" w:cs="宋体"/>
                <w:b/>
                <w:bCs/>
                <w:color w:val="auto"/>
                <w:kern w:val="0"/>
                <w:szCs w:val="21"/>
              </w:rPr>
              <w:t>合  计</w:t>
            </w:r>
          </w:p>
        </w:tc>
        <w:tc>
          <w:tcPr>
            <w:tcW w:w="2157" w:type="dxa"/>
            <w:tcBorders>
              <w:top w:val="nil"/>
              <w:left w:val="nil"/>
              <w:bottom w:val="single" w:color="auto" w:sz="4" w:space="0"/>
              <w:right w:val="single" w:color="auto" w:sz="4" w:space="0"/>
            </w:tcBorders>
            <w:noWrap w:val="0"/>
            <w:vAlign w:val="center"/>
          </w:tcPr>
          <w:p w14:paraId="0BFBD6DB">
            <w:pPr>
              <w:widowControl/>
              <w:jc w:val="center"/>
              <w:rPr>
                <w:rFonts w:ascii="宋体" w:hAnsi="宋体" w:cs="宋体"/>
                <w:b/>
                <w:bCs/>
                <w:color w:val="auto"/>
                <w:kern w:val="0"/>
                <w:szCs w:val="21"/>
              </w:rPr>
            </w:pPr>
            <w:r>
              <w:rPr>
                <w:rFonts w:hint="eastAsia" w:ascii="宋体" w:hAnsi="宋体" w:cs="宋体"/>
                <w:b/>
                <w:bCs/>
                <w:color w:val="auto"/>
                <w:kern w:val="0"/>
                <w:szCs w:val="21"/>
                <w:lang w:val="en-US" w:eastAsia="zh-CN"/>
              </w:rPr>
              <w:t>11.9</w:t>
            </w:r>
            <w:r>
              <w:rPr>
                <w:rFonts w:hint="eastAsia" w:ascii="宋体" w:hAnsi="宋体" w:cs="宋体"/>
                <w:b/>
                <w:bCs/>
                <w:color w:val="auto"/>
                <w:kern w:val="0"/>
                <w:szCs w:val="21"/>
              </w:rPr>
              <w:t>　</w:t>
            </w:r>
          </w:p>
        </w:tc>
        <w:tc>
          <w:tcPr>
            <w:tcW w:w="2220" w:type="dxa"/>
            <w:tcBorders>
              <w:top w:val="nil"/>
              <w:left w:val="nil"/>
              <w:bottom w:val="single" w:color="auto" w:sz="4" w:space="0"/>
              <w:right w:val="single" w:color="auto" w:sz="4" w:space="0"/>
            </w:tcBorders>
            <w:noWrap w:val="0"/>
            <w:vAlign w:val="center"/>
          </w:tcPr>
          <w:p w14:paraId="5D983EAF">
            <w:pPr>
              <w:widowControl/>
              <w:jc w:val="center"/>
              <w:rPr>
                <w:rFonts w:ascii="宋体" w:hAnsi="宋体" w:cs="宋体"/>
                <w:b/>
                <w:bCs/>
                <w:color w:val="auto"/>
                <w:kern w:val="0"/>
                <w:szCs w:val="21"/>
              </w:rPr>
            </w:pPr>
            <w:r>
              <w:rPr>
                <w:rFonts w:hint="eastAsia" w:ascii="宋体" w:hAnsi="宋体" w:cs="宋体"/>
                <w:b/>
                <w:bCs/>
                <w:color w:val="auto"/>
                <w:kern w:val="0"/>
                <w:szCs w:val="21"/>
                <w:lang w:val="en-US" w:eastAsia="zh-CN"/>
              </w:rPr>
              <w:t>3.17</w:t>
            </w:r>
            <w:r>
              <w:rPr>
                <w:rFonts w:hint="eastAsia" w:ascii="宋体" w:hAnsi="宋体" w:cs="宋体"/>
                <w:b/>
                <w:bCs/>
                <w:color w:val="auto"/>
                <w:kern w:val="0"/>
                <w:szCs w:val="21"/>
              </w:rPr>
              <w:t>　</w:t>
            </w:r>
          </w:p>
        </w:tc>
      </w:tr>
      <w:tr w14:paraId="3E4A11E4">
        <w:tblPrEx>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noWrap w:val="0"/>
            <w:vAlign w:val="center"/>
          </w:tcPr>
          <w:p w14:paraId="5E6145F5">
            <w:pPr>
              <w:widowControl/>
              <w:jc w:val="left"/>
              <w:rPr>
                <w:rFonts w:ascii="宋体" w:hAnsi="宋体" w:cs="宋体"/>
                <w:color w:val="auto"/>
                <w:kern w:val="0"/>
                <w:szCs w:val="21"/>
              </w:rPr>
            </w:pPr>
            <w:r>
              <w:rPr>
                <w:rFonts w:hint="eastAsia" w:ascii="宋体" w:hAnsi="宋体" w:cs="宋体"/>
                <w:color w:val="auto"/>
                <w:kern w:val="0"/>
                <w:szCs w:val="21"/>
              </w:rPr>
              <w:t>因公出国（境）费</w:t>
            </w:r>
          </w:p>
        </w:tc>
        <w:tc>
          <w:tcPr>
            <w:tcW w:w="2157" w:type="dxa"/>
            <w:tcBorders>
              <w:top w:val="nil"/>
              <w:left w:val="nil"/>
              <w:bottom w:val="single" w:color="auto" w:sz="4" w:space="0"/>
              <w:right w:val="single" w:color="auto" w:sz="4" w:space="0"/>
            </w:tcBorders>
            <w:noWrap w:val="0"/>
            <w:vAlign w:val="bottom"/>
          </w:tcPr>
          <w:p w14:paraId="00324019">
            <w:pPr>
              <w:widowControl/>
              <w:jc w:val="left"/>
              <w:rPr>
                <w:rFonts w:ascii="宋体" w:hAnsi="宋体" w:cs="宋体"/>
                <w:color w:val="auto"/>
                <w:kern w:val="0"/>
                <w:szCs w:val="21"/>
              </w:rPr>
            </w:pPr>
            <w:r>
              <w:rPr>
                <w:rFonts w:hint="eastAsia" w:ascii="宋体" w:hAnsi="宋体" w:cs="宋体"/>
                <w:color w:val="auto"/>
                <w:kern w:val="0"/>
                <w:szCs w:val="21"/>
              </w:rPr>
              <w:t>　</w:t>
            </w:r>
          </w:p>
        </w:tc>
        <w:tc>
          <w:tcPr>
            <w:tcW w:w="2220" w:type="dxa"/>
            <w:tcBorders>
              <w:top w:val="nil"/>
              <w:left w:val="nil"/>
              <w:bottom w:val="single" w:color="auto" w:sz="4" w:space="0"/>
              <w:right w:val="single" w:color="auto" w:sz="4" w:space="0"/>
            </w:tcBorders>
            <w:noWrap w:val="0"/>
            <w:vAlign w:val="bottom"/>
          </w:tcPr>
          <w:p w14:paraId="3B0E3A77">
            <w:pPr>
              <w:widowControl/>
              <w:jc w:val="left"/>
              <w:rPr>
                <w:rFonts w:ascii="宋体" w:hAnsi="宋体" w:cs="宋体"/>
                <w:color w:val="auto"/>
                <w:kern w:val="0"/>
                <w:szCs w:val="21"/>
              </w:rPr>
            </w:pPr>
            <w:r>
              <w:rPr>
                <w:rFonts w:hint="eastAsia" w:ascii="宋体" w:hAnsi="宋体" w:cs="宋体"/>
                <w:color w:val="auto"/>
                <w:kern w:val="0"/>
                <w:szCs w:val="21"/>
              </w:rPr>
              <w:t>　</w:t>
            </w:r>
          </w:p>
        </w:tc>
      </w:tr>
      <w:tr w14:paraId="12078393">
        <w:tblPrEx>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noWrap w:val="0"/>
            <w:vAlign w:val="center"/>
          </w:tcPr>
          <w:p w14:paraId="63006DFC">
            <w:pPr>
              <w:widowControl/>
              <w:jc w:val="left"/>
              <w:rPr>
                <w:rFonts w:ascii="宋体" w:hAnsi="宋体" w:cs="宋体"/>
                <w:color w:val="auto"/>
                <w:kern w:val="0"/>
                <w:szCs w:val="21"/>
              </w:rPr>
            </w:pPr>
            <w:r>
              <w:rPr>
                <w:rFonts w:hint="eastAsia" w:ascii="宋体" w:hAnsi="宋体" w:cs="宋体"/>
                <w:color w:val="auto"/>
                <w:kern w:val="0"/>
                <w:szCs w:val="21"/>
              </w:rPr>
              <w:t>公务接待费</w:t>
            </w:r>
          </w:p>
        </w:tc>
        <w:tc>
          <w:tcPr>
            <w:tcW w:w="2157" w:type="dxa"/>
            <w:tcBorders>
              <w:top w:val="nil"/>
              <w:left w:val="nil"/>
              <w:bottom w:val="single" w:color="auto" w:sz="4" w:space="0"/>
              <w:right w:val="single" w:color="auto" w:sz="4" w:space="0"/>
            </w:tcBorders>
            <w:noWrap w:val="0"/>
            <w:vAlign w:val="center"/>
          </w:tcPr>
          <w:p w14:paraId="38147C18">
            <w:pPr>
              <w:keepNext w:val="0"/>
              <w:keepLines w:val="0"/>
              <w:widowControl/>
              <w:suppressLineNumbers w:val="0"/>
              <w:jc w:val="center"/>
              <w:textAlignment w:val="center"/>
              <w:rPr>
                <w:rFonts w:ascii="宋体" w:hAnsi="宋体" w:cs="宋体"/>
                <w:color w:val="auto"/>
                <w:kern w:val="0"/>
                <w:szCs w:val="21"/>
              </w:rPr>
            </w:pPr>
            <w:r>
              <w:rPr>
                <w:rFonts w:hint="eastAsia" w:ascii="宋体" w:hAnsi="宋体" w:eastAsia="宋体" w:cs="宋体"/>
                <w:i w:val="0"/>
                <w:iCs w:val="0"/>
                <w:color w:val="000000"/>
                <w:kern w:val="0"/>
                <w:sz w:val="20"/>
                <w:szCs w:val="20"/>
                <w:u w:val="none"/>
                <w:lang w:val="en-US" w:eastAsia="zh-CN" w:bidi="ar"/>
              </w:rPr>
              <w:t>8.90</w:t>
            </w:r>
          </w:p>
        </w:tc>
        <w:tc>
          <w:tcPr>
            <w:tcW w:w="2220" w:type="dxa"/>
            <w:tcBorders>
              <w:top w:val="nil"/>
              <w:left w:val="nil"/>
              <w:bottom w:val="single" w:color="auto" w:sz="4" w:space="0"/>
              <w:right w:val="single" w:color="auto" w:sz="4" w:space="0"/>
            </w:tcBorders>
            <w:noWrap w:val="0"/>
            <w:vAlign w:val="center"/>
          </w:tcPr>
          <w:p w14:paraId="081F9B57">
            <w:pPr>
              <w:keepNext w:val="0"/>
              <w:keepLines w:val="0"/>
              <w:widowControl/>
              <w:suppressLineNumbers w:val="0"/>
              <w:jc w:val="center"/>
              <w:textAlignment w:val="center"/>
              <w:rPr>
                <w:rFonts w:ascii="宋体" w:hAnsi="宋体" w:cs="宋体"/>
                <w:color w:val="auto"/>
                <w:kern w:val="0"/>
                <w:szCs w:val="21"/>
              </w:rPr>
            </w:pPr>
            <w:r>
              <w:rPr>
                <w:rFonts w:hint="eastAsia" w:ascii="宋体" w:hAnsi="宋体" w:eastAsia="宋体" w:cs="宋体"/>
                <w:i w:val="0"/>
                <w:iCs w:val="0"/>
                <w:color w:val="000000"/>
                <w:kern w:val="0"/>
                <w:sz w:val="20"/>
                <w:szCs w:val="20"/>
                <w:u w:val="none"/>
                <w:lang w:val="en-US" w:eastAsia="zh-CN" w:bidi="ar"/>
              </w:rPr>
              <w:t>1.67</w:t>
            </w:r>
          </w:p>
        </w:tc>
      </w:tr>
      <w:tr w14:paraId="0048372F">
        <w:tblPrEx>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noWrap w:val="0"/>
            <w:vAlign w:val="center"/>
          </w:tcPr>
          <w:p w14:paraId="71F98333">
            <w:pPr>
              <w:widowControl/>
              <w:jc w:val="left"/>
              <w:rPr>
                <w:rFonts w:ascii="宋体" w:hAnsi="宋体" w:cs="宋体"/>
                <w:color w:val="auto"/>
                <w:kern w:val="0"/>
                <w:szCs w:val="21"/>
              </w:rPr>
            </w:pPr>
            <w:r>
              <w:rPr>
                <w:rFonts w:hint="eastAsia" w:ascii="宋体" w:hAnsi="宋体" w:cs="宋体"/>
                <w:color w:val="auto"/>
                <w:kern w:val="0"/>
                <w:szCs w:val="21"/>
              </w:rPr>
              <w:t>公务用车购置及运行维护费</w:t>
            </w:r>
          </w:p>
        </w:tc>
        <w:tc>
          <w:tcPr>
            <w:tcW w:w="2157" w:type="dxa"/>
            <w:tcBorders>
              <w:top w:val="nil"/>
              <w:left w:val="nil"/>
              <w:bottom w:val="single" w:color="auto" w:sz="4" w:space="0"/>
              <w:right w:val="single" w:color="auto" w:sz="4" w:space="0"/>
            </w:tcBorders>
            <w:noWrap w:val="0"/>
            <w:vAlign w:val="center"/>
          </w:tcPr>
          <w:p w14:paraId="4D5E6E3F">
            <w:pPr>
              <w:keepNext w:val="0"/>
              <w:keepLines w:val="0"/>
              <w:widowControl/>
              <w:suppressLineNumbers w:val="0"/>
              <w:jc w:val="center"/>
              <w:textAlignment w:val="center"/>
              <w:rPr>
                <w:rFonts w:ascii="宋体" w:hAnsi="宋体" w:cs="宋体"/>
                <w:color w:val="auto"/>
                <w:kern w:val="0"/>
                <w:szCs w:val="21"/>
              </w:rPr>
            </w:pPr>
            <w:r>
              <w:rPr>
                <w:rFonts w:hint="eastAsia" w:ascii="宋体" w:hAnsi="宋体" w:eastAsia="宋体" w:cs="宋体"/>
                <w:i w:val="0"/>
                <w:iCs w:val="0"/>
                <w:color w:val="000000"/>
                <w:kern w:val="0"/>
                <w:sz w:val="20"/>
                <w:szCs w:val="20"/>
                <w:u w:val="none"/>
                <w:lang w:val="en-US" w:eastAsia="zh-CN" w:bidi="ar"/>
              </w:rPr>
              <w:t>3.00</w:t>
            </w:r>
          </w:p>
        </w:tc>
        <w:tc>
          <w:tcPr>
            <w:tcW w:w="2220" w:type="dxa"/>
            <w:tcBorders>
              <w:top w:val="nil"/>
              <w:left w:val="nil"/>
              <w:bottom w:val="single" w:color="auto" w:sz="4" w:space="0"/>
              <w:right w:val="single" w:color="auto" w:sz="4" w:space="0"/>
            </w:tcBorders>
            <w:noWrap w:val="0"/>
            <w:vAlign w:val="center"/>
          </w:tcPr>
          <w:p w14:paraId="76D83110">
            <w:pPr>
              <w:keepNext w:val="0"/>
              <w:keepLines w:val="0"/>
              <w:widowControl/>
              <w:suppressLineNumbers w:val="0"/>
              <w:jc w:val="center"/>
              <w:textAlignment w:val="center"/>
              <w:rPr>
                <w:rFonts w:ascii="宋体" w:hAnsi="宋体" w:cs="宋体"/>
                <w:color w:val="auto"/>
                <w:kern w:val="0"/>
                <w:szCs w:val="21"/>
              </w:rPr>
            </w:pPr>
            <w:r>
              <w:rPr>
                <w:rFonts w:hint="eastAsia" w:ascii="宋体" w:hAnsi="宋体" w:eastAsia="宋体" w:cs="宋体"/>
                <w:i w:val="0"/>
                <w:iCs w:val="0"/>
                <w:color w:val="000000"/>
                <w:kern w:val="0"/>
                <w:sz w:val="20"/>
                <w:szCs w:val="20"/>
                <w:u w:val="none"/>
                <w:lang w:val="en-US" w:eastAsia="zh-CN" w:bidi="ar"/>
              </w:rPr>
              <w:t>1.50</w:t>
            </w:r>
          </w:p>
        </w:tc>
      </w:tr>
      <w:tr w14:paraId="37DC33F6">
        <w:tblPrEx>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noWrap w:val="0"/>
            <w:vAlign w:val="center"/>
          </w:tcPr>
          <w:p w14:paraId="1948EC1F">
            <w:pPr>
              <w:widowControl/>
              <w:jc w:val="left"/>
              <w:rPr>
                <w:rFonts w:ascii="宋体" w:hAnsi="宋体" w:cs="宋体"/>
                <w:color w:val="auto"/>
                <w:kern w:val="0"/>
                <w:szCs w:val="21"/>
              </w:rPr>
            </w:pPr>
            <w:r>
              <w:rPr>
                <w:rFonts w:hint="eastAsia" w:ascii="宋体" w:hAnsi="宋体" w:cs="宋体"/>
                <w:color w:val="auto"/>
                <w:kern w:val="0"/>
                <w:szCs w:val="21"/>
              </w:rPr>
              <w:t xml:space="preserve">  其中：公务用车购置费</w:t>
            </w:r>
          </w:p>
        </w:tc>
        <w:tc>
          <w:tcPr>
            <w:tcW w:w="2157" w:type="dxa"/>
            <w:tcBorders>
              <w:top w:val="nil"/>
              <w:left w:val="nil"/>
              <w:bottom w:val="single" w:color="auto" w:sz="4" w:space="0"/>
              <w:right w:val="single" w:color="auto" w:sz="4" w:space="0"/>
            </w:tcBorders>
            <w:noWrap w:val="0"/>
            <w:vAlign w:val="bottom"/>
          </w:tcPr>
          <w:p w14:paraId="5AC841A9">
            <w:pPr>
              <w:widowControl/>
              <w:jc w:val="center"/>
              <w:rPr>
                <w:rFonts w:ascii="宋体" w:hAnsi="宋体" w:cs="宋体"/>
                <w:color w:val="auto"/>
                <w:kern w:val="0"/>
                <w:szCs w:val="21"/>
              </w:rPr>
            </w:pPr>
          </w:p>
        </w:tc>
        <w:tc>
          <w:tcPr>
            <w:tcW w:w="2220" w:type="dxa"/>
            <w:tcBorders>
              <w:top w:val="nil"/>
              <w:left w:val="nil"/>
              <w:bottom w:val="single" w:color="auto" w:sz="4" w:space="0"/>
              <w:right w:val="single" w:color="auto" w:sz="4" w:space="0"/>
            </w:tcBorders>
            <w:noWrap w:val="0"/>
            <w:vAlign w:val="bottom"/>
          </w:tcPr>
          <w:p w14:paraId="35D4F2E8">
            <w:pPr>
              <w:widowControl/>
              <w:jc w:val="center"/>
              <w:rPr>
                <w:rFonts w:ascii="宋体" w:hAnsi="宋体" w:cs="宋体"/>
                <w:color w:val="auto"/>
                <w:kern w:val="0"/>
                <w:szCs w:val="21"/>
              </w:rPr>
            </w:pPr>
          </w:p>
        </w:tc>
      </w:tr>
      <w:tr w14:paraId="27236061">
        <w:tblPrEx>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noWrap w:val="0"/>
            <w:vAlign w:val="center"/>
          </w:tcPr>
          <w:p w14:paraId="6A1A2ACE">
            <w:pPr>
              <w:widowControl/>
              <w:jc w:val="left"/>
              <w:rPr>
                <w:rFonts w:ascii="宋体" w:hAnsi="宋体" w:cs="宋体"/>
                <w:color w:val="auto"/>
                <w:kern w:val="0"/>
                <w:szCs w:val="21"/>
              </w:rPr>
            </w:pPr>
            <w:r>
              <w:rPr>
                <w:rFonts w:hint="eastAsia" w:ascii="宋体" w:hAnsi="宋体" w:cs="宋体"/>
                <w:color w:val="auto"/>
                <w:kern w:val="0"/>
                <w:szCs w:val="21"/>
              </w:rPr>
              <w:t xml:space="preserve">        公务用车运行维护费</w:t>
            </w:r>
          </w:p>
        </w:tc>
        <w:tc>
          <w:tcPr>
            <w:tcW w:w="2157" w:type="dxa"/>
            <w:tcBorders>
              <w:top w:val="nil"/>
              <w:left w:val="nil"/>
              <w:bottom w:val="single" w:color="auto" w:sz="4" w:space="0"/>
              <w:right w:val="single" w:color="auto" w:sz="4" w:space="0"/>
            </w:tcBorders>
            <w:noWrap w:val="0"/>
            <w:vAlign w:val="center"/>
          </w:tcPr>
          <w:p w14:paraId="72F7AA3B">
            <w:pPr>
              <w:keepNext w:val="0"/>
              <w:keepLines w:val="0"/>
              <w:widowControl/>
              <w:suppressLineNumbers w:val="0"/>
              <w:jc w:val="center"/>
              <w:textAlignment w:val="center"/>
              <w:rPr>
                <w:rFonts w:ascii="宋体" w:hAnsi="宋体" w:cs="宋体"/>
                <w:color w:val="auto"/>
                <w:kern w:val="0"/>
                <w:szCs w:val="21"/>
              </w:rPr>
            </w:pPr>
            <w:r>
              <w:rPr>
                <w:rFonts w:hint="eastAsia" w:ascii="宋体" w:hAnsi="宋体" w:eastAsia="宋体" w:cs="宋体"/>
                <w:i w:val="0"/>
                <w:iCs w:val="0"/>
                <w:color w:val="000000"/>
                <w:kern w:val="0"/>
                <w:sz w:val="20"/>
                <w:szCs w:val="20"/>
                <w:u w:val="none"/>
                <w:lang w:val="en-US" w:eastAsia="zh-CN" w:bidi="ar"/>
              </w:rPr>
              <w:t>3.00</w:t>
            </w:r>
          </w:p>
        </w:tc>
        <w:tc>
          <w:tcPr>
            <w:tcW w:w="2220" w:type="dxa"/>
            <w:tcBorders>
              <w:top w:val="nil"/>
              <w:left w:val="nil"/>
              <w:bottom w:val="single" w:color="auto" w:sz="4" w:space="0"/>
              <w:right w:val="single" w:color="auto" w:sz="4" w:space="0"/>
            </w:tcBorders>
            <w:noWrap w:val="0"/>
            <w:vAlign w:val="center"/>
          </w:tcPr>
          <w:p w14:paraId="271AF255">
            <w:pPr>
              <w:keepNext w:val="0"/>
              <w:keepLines w:val="0"/>
              <w:widowControl/>
              <w:suppressLineNumbers w:val="0"/>
              <w:jc w:val="center"/>
              <w:textAlignment w:val="center"/>
              <w:rPr>
                <w:rFonts w:ascii="宋体" w:hAnsi="宋体" w:cs="宋体"/>
                <w:color w:val="auto"/>
                <w:kern w:val="0"/>
                <w:szCs w:val="21"/>
              </w:rPr>
            </w:pPr>
            <w:r>
              <w:rPr>
                <w:rFonts w:hint="eastAsia" w:ascii="宋体" w:hAnsi="宋体" w:eastAsia="宋体" w:cs="宋体"/>
                <w:i w:val="0"/>
                <w:iCs w:val="0"/>
                <w:color w:val="000000"/>
                <w:kern w:val="0"/>
                <w:sz w:val="20"/>
                <w:szCs w:val="20"/>
                <w:u w:val="none"/>
                <w:lang w:val="en-US" w:eastAsia="zh-CN" w:bidi="ar"/>
              </w:rPr>
              <w:t>1.50</w:t>
            </w:r>
          </w:p>
        </w:tc>
      </w:tr>
    </w:tbl>
    <w:p w14:paraId="0D94439B">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eastAsia" w:ascii="仿宋_GB2312" w:hAnsi="仿宋"/>
          <w:color w:val="auto"/>
          <w:sz w:val="21"/>
          <w:szCs w:val="21"/>
          <w:lang w:val="en-US" w:eastAsia="zh-CN"/>
        </w:rPr>
      </w:pPr>
    </w:p>
    <w:p w14:paraId="283F65F3">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eastAsia" w:ascii="黑体" w:hAnsi="黑体" w:eastAsia="黑体"/>
          <w:color w:val="auto"/>
          <w:szCs w:val="32"/>
        </w:rPr>
      </w:pPr>
      <w:r>
        <w:rPr>
          <w:rFonts w:hint="eastAsia" w:ascii="仿宋_GB2312" w:hAnsi="仿宋"/>
          <w:color w:val="auto"/>
          <w:sz w:val="21"/>
          <w:szCs w:val="21"/>
          <w:lang w:val="en-US" w:eastAsia="zh-CN"/>
        </w:rPr>
        <w:t>注：本表反映部门本年度一般公共预算财政拨款“三公”经费支出预决算情况。其中，预算数为“三公”经费全年预算数，反映按规定程序调整后的预算数;决算数是包括当年一般公共预算财政拨款和以前年度结转资金安排的实际支出。</w:t>
      </w:r>
      <w:r>
        <w:rPr>
          <w:rFonts w:hint="eastAsia" w:ascii="仿宋_GB2312" w:hAnsi="仿宋"/>
          <w:color w:val="auto"/>
          <w:sz w:val="21"/>
          <w:szCs w:val="21"/>
          <w:lang w:eastAsia="zh-CN"/>
        </w:rPr>
        <w:t xml:space="preserve"> </w:t>
      </w:r>
      <w:r>
        <w:rPr>
          <w:rFonts w:hint="eastAsia" w:ascii="仿宋_GB2312" w:hAnsi="仿宋"/>
          <w:color w:val="auto"/>
          <w:szCs w:val="32"/>
          <w:lang w:eastAsia="zh-CN"/>
        </w:rPr>
        <w:t xml:space="preserve"> </w:t>
      </w:r>
      <w:r>
        <w:rPr>
          <w:rFonts w:hint="eastAsia" w:ascii="黑体" w:hAnsi="黑体" w:eastAsia="黑体"/>
          <w:color w:val="auto"/>
          <w:szCs w:val="32"/>
        </w:rPr>
        <w:t xml:space="preserve">                                      </w:t>
      </w:r>
    </w:p>
    <w:p w14:paraId="3A7427E6">
      <w:pPr>
        <w:rPr>
          <w:rFonts w:hint="eastAsia" w:ascii="黑体" w:hAnsi="黑体" w:eastAsia="黑体"/>
          <w:color w:val="auto"/>
          <w:szCs w:val="32"/>
        </w:rPr>
      </w:pPr>
      <w:r>
        <w:rPr>
          <w:rFonts w:ascii="黑体" w:hAnsi="黑体" w:eastAsia="黑体"/>
          <w:color w:val="auto"/>
          <w:szCs w:val="32"/>
        </w:rPr>
        <w:t xml:space="preserve">    </w:t>
      </w:r>
      <w:r>
        <w:rPr>
          <w:rFonts w:hint="eastAsia" w:ascii="黑体" w:hAnsi="黑体" w:eastAsia="黑体"/>
          <w:color w:val="auto"/>
          <w:szCs w:val="32"/>
        </w:rPr>
        <w:t>二</w:t>
      </w:r>
      <w:r>
        <w:rPr>
          <w:rFonts w:ascii="黑体" w:hAnsi="黑体" w:eastAsia="黑体"/>
          <w:color w:val="auto"/>
          <w:szCs w:val="32"/>
        </w:rPr>
        <w:t>、</w:t>
      </w:r>
      <w:r>
        <w:rPr>
          <w:rFonts w:hint="eastAsia" w:ascii="黑体" w:hAnsi="黑体" w:eastAsia="黑体"/>
          <w:color w:val="auto"/>
          <w:szCs w:val="32"/>
          <w:lang w:eastAsia="zh-CN"/>
        </w:rPr>
        <w:t>202</w:t>
      </w:r>
      <w:r>
        <w:rPr>
          <w:rFonts w:hint="eastAsia" w:ascii="黑体" w:hAnsi="黑体" w:eastAsia="黑体"/>
          <w:color w:val="auto"/>
          <w:szCs w:val="32"/>
          <w:lang w:val="en-US" w:eastAsia="zh-CN"/>
        </w:rPr>
        <w:t>3</w:t>
      </w:r>
      <w:r>
        <w:rPr>
          <w:rFonts w:ascii="黑体" w:hAnsi="黑体" w:eastAsia="黑体"/>
          <w:color w:val="auto"/>
          <w:szCs w:val="32"/>
        </w:rPr>
        <w:t>年</w:t>
      </w:r>
      <w:r>
        <w:rPr>
          <w:rFonts w:hint="eastAsia" w:ascii="黑体" w:hAnsi="黑体" w:eastAsia="黑体"/>
          <w:color w:val="auto"/>
          <w:szCs w:val="32"/>
        </w:rPr>
        <w:t>度一般公共预算财政拨款“三公”经费支出</w:t>
      </w:r>
      <w:r>
        <w:rPr>
          <w:rFonts w:ascii="黑体" w:hAnsi="黑体" w:eastAsia="黑体"/>
          <w:color w:val="auto"/>
          <w:szCs w:val="32"/>
        </w:rPr>
        <w:t>情况说明</w:t>
      </w:r>
    </w:p>
    <w:p w14:paraId="7D7E16A8">
      <w:pPr>
        <w:ind w:firstLine="643" w:firstLineChars="200"/>
        <w:rPr>
          <w:rFonts w:hint="eastAsia" w:ascii="仿宋_GB2312" w:hAnsi="仿宋"/>
          <w:b/>
          <w:color w:val="auto"/>
          <w:szCs w:val="32"/>
        </w:rPr>
      </w:pPr>
      <w:r>
        <w:rPr>
          <w:rFonts w:hint="eastAsia" w:ascii="仿宋_GB2312" w:hAnsi="仿宋"/>
          <w:b/>
          <w:color w:val="auto"/>
          <w:szCs w:val="32"/>
        </w:rPr>
        <w:t>（一）一般公共预算财政拨款“三公”经费支出决算总体情况说明。</w:t>
      </w:r>
    </w:p>
    <w:p w14:paraId="4551AFF3">
      <w:pPr>
        <w:ind w:firstLine="640" w:firstLineChars="200"/>
        <w:rPr>
          <w:rFonts w:hint="eastAsia" w:ascii="楷体_GB2312" w:hAnsi="仿宋" w:eastAsia="楷体_GB2312"/>
          <w:color w:val="auto"/>
          <w:szCs w:val="32"/>
        </w:rPr>
      </w:pPr>
      <w:r>
        <w:rPr>
          <w:rFonts w:hint="eastAsia" w:ascii="仿宋_GB2312" w:hAnsi="仿宋"/>
          <w:color w:val="auto"/>
          <w:szCs w:val="32"/>
          <w:lang w:eastAsia="zh-CN"/>
        </w:rPr>
        <w:t>黄山市住房公积金管理中心202</w:t>
      </w:r>
      <w:r>
        <w:rPr>
          <w:rFonts w:hint="eastAsia" w:ascii="仿宋_GB2312" w:hAnsi="仿宋"/>
          <w:color w:val="auto"/>
          <w:szCs w:val="32"/>
          <w:lang w:val="en-US" w:eastAsia="zh-CN"/>
        </w:rPr>
        <w:t>3</w:t>
      </w:r>
      <w:r>
        <w:rPr>
          <w:rFonts w:hint="eastAsia" w:ascii="仿宋_GB2312" w:hAnsi="仿宋"/>
          <w:color w:val="auto"/>
          <w:szCs w:val="32"/>
        </w:rPr>
        <w:t>年度一般公共预算财政拨款“三公”经费支出预算为</w:t>
      </w:r>
      <w:r>
        <w:rPr>
          <w:rFonts w:hint="eastAsia" w:ascii="仿宋_GB2312" w:hAnsi="仿宋"/>
          <w:color w:val="auto"/>
          <w:szCs w:val="32"/>
          <w:lang w:val="en-US" w:eastAsia="zh-CN"/>
        </w:rPr>
        <w:t>11.9</w:t>
      </w:r>
      <w:r>
        <w:rPr>
          <w:rFonts w:hint="eastAsia" w:ascii="仿宋_GB2312" w:hAnsi="仿宋"/>
          <w:color w:val="auto"/>
          <w:szCs w:val="32"/>
        </w:rPr>
        <w:t>万元，支出决算</w:t>
      </w:r>
      <w:r>
        <w:rPr>
          <w:rFonts w:hint="eastAsia" w:ascii="仿宋_GB2312" w:hAnsi="仿宋"/>
          <w:color w:val="auto"/>
          <w:szCs w:val="32"/>
          <w:lang w:eastAsia="zh-CN"/>
        </w:rPr>
        <w:t>为</w:t>
      </w:r>
      <w:r>
        <w:rPr>
          <w:rFonts w:hint="eastAsia" w:ascii="仿宋_GB2312" w:hAnsi="仿宋"/>
          <w:color w:val="auto"/>
          <w:szCs w:val="32"/>
          <w:lang w:val="en-US" w:eastAsia="zh-CN"/>
        </w:rPr>
        <w:t>3.17</w:t>
      </w:r>
      <w:r>
        <w:rPr>
          <w:rFonts w:hint="eastAsia" w:ascii="仿宋_GB2312" w:hAnsi="仿宋"/>
          <w:color w:val="auto"/>
          <w:szCs w:val="32"/>
        </w:rPr>
        <w:t>万元，完成预算的</w:t>
      </w:r>
      <w:r>
        <w:rPr>
          <w:rFonts w:hint="eastAsia" w:ascii="仿宋_GB2312" w:hAnsi="仿宋"/>
          <w:color w:val="auto"/>
          <w:szCs w:val="32"/>
          <w:lang w:val="en-US" w:eastAsia="zh-CN"/>
        </w:rPr>
        <w:t>26.6</w:t>
      </w:r>
      <w:r>
        <w:rPr>
          <w:rFonts w:hint="eastAsia" w:ascii="仿宋_GB2312" w:hAnsi="仿宋"/>
          <w:color w:val="auto"/>
          <w:szCs w:val="32"/>
        </w:rPr>
        <w:t>%</w:t>
      </w:r>
      <w:r>
        <w:rPr>
          <w:rFonts w:hint="eastAsia" w:ascii="仿宋_GB2312" w:hAnsi="仿宋"/>
          <w:color w:val="auto"/>
          <w:szCs w:val="32"/>
          <w:lang w:eastAsia="zh-CN"/>
        </w:rPr>
        <w:t>；</w:t>
      </w:r>
      <w:r>
        <w:rPr>
          <w:rFonts w:hint="eastAsia" w:ascii="仿宋_GB2312" w:hAnsi="仿宋"/>
          <w:color w:val="auto"/>
          <w:szCs w:val="32"/>
          <w:u w:val="none"/>
          <w:lang w:eastAsia="zh-CN"/>
        </w:rPr>
        <w:t>较上年增加</w:t>
      </w:r>
      <w:r>
        <w:rPr>
          <w:rFonts w:hint="eastAsia" w:ascii="仿宋_GB2312" w:hAnsi="仿宋"/>
          <w:color w:val="auto"/>
          <w:szCs w:val="32"/>
          <w:u w:val="none"/>
          <w:lang w:val="en-US" w:eastAsia="zh-CN"/>
        </w:rPr>
        <w:t>1.37</w:t>
      </w:r>
      <w:r>
        <w:rPr>
          <w:rFonts w:hint="eastAsia" w:ascii="仿宋_GB2312" w:hAnsi="仿宋"/>
          <w:color w:val="auto"/>
          <w:szCs w:val="32"/>
          <w:u w:val="none"/>
        </w:rPr>
        <w:t>万元</w:t>
      </w:r>
      <w:r>
        <w:rPr>
          <w:rFonts w:hint="eastAsia" w:ascii="仿宋_GB2312" w:hAnsi="仿宋"/>
          <w:color w:val="auto"/>
          <w:szCs w:val="32"/>
          <w:u w:val="none"/>
          <w:lang w:eastAsia="zh-CN"/>
        </w:rPr>
        <w:t>，增长</w:t>
      </w:r>
      <w:r>
        <w:rPr>
          <w:rFonts w:hint="eastAsia" w:ascii="仿宋_GB2312" w:hAnsi="仿宋"/>
          <w:color w:val="auto"/>
          <w:szCs w:val="32"/>
          <w:u w:val="none"/>
          <w:lang w:val="en-US" w:eastAsia="zh-CN"/>
        </w:rPr>
        <w:t>76.1%。</w:t>
      </w:r>
      <w:r>
        <w:rPr>
          <w:rFonts w:hint="eastAsia" w:ascii="仿宋_GB2312" w:hAnsi="仿宋"/>
          <w:color w:val="auto"/>
          <w:szCs w:val="32"/>
          <w:u w:val="none"/>
        </w:rPr>
        <w:t>决算数</w:t>
      </w:r>
      <w:r>
        <w:rPr>
          <w:rFonts w:hint="eastAsia" w:ascii="仿宋_GB2312" w:hAnsi="仿宋"/>
          <w:color w:val="auto"/>
          <w:szCs w:val="32"/>
          <w:u w:val="none"/>
          <w:lang w:eastAsia="zh-CN"/>
        </w:rPr>
        <w:t>小</w:t>
      </w:r>
      <w:r>
        <w:rPr>
          <w:rFonts w:hint="eastAsia" w:ascii="仿宋_GB2312" w:hAnsi="仿宋"/>
          <w:color w:val="auto"/>
          <w:szCs w:val="32"/>
          <w:u w:val="none"/>
        </w:rPr>
        <w:t>于预算数的主要原因是</w:t>
      </w:r>
      <w:r>
        <w:rPr>
          <w:rFonts w:hint="eastAsia" w:ascii="仿宋_GB2312" w:hAnsi="仿宋"/>
          <w:color w:val="auto"/>
          <w:szCs w:val="32"/>
          <w:u w:val="none"/>
          <w:lang w:val="en-US" w:eastAsia="zh-CN"/>
        </w:rPr>
        <w:t>厉行节约，尽量减少三公经费支</w:t>
      </w:r>
      <w:r>
        <w:rPr>
          <w:rFonts w:hint="eastAsia" w:ascii="仿宋_GB2312" w:hAnsi="仿宋"/>
          <w:color w:val="auto"/>
          <w:szCs w:val="32"/>
          <w:highlight w:val="none"/>
          <w:u w:val="none"/>
          <w:lang w:val="en-US" w:eastAsia="zh-CN"/>
        </w:rPr>
        <w:t>出</w:t>
      </w:r>
      <w:r>
        <w:rPr>
          <w:rFonts w:hint="eastAsia" w:ascii="仿宋_GB2312" w:hAnsi="仿宋"/>
          <w:color w:val="auto"/>
          <w:szCs w:val="32"/>
          <w:highlight w:val="none"/>
          <w:u w:val="none"/>
        </w:rPr>
        <w:t>。决算数</w:t>
      </w:r>
      <w:r>
        <w:rPr>
          <w:rFonts w:hint="eastAsia" w:ascii="仿宋_GB2312" w:hAnsi="仿宋"/>
          <w:color w:val="auto"/>
          <w:szCs w:val="32"/>
          <w:highlight w:val="none"/>
          <w:u w:val="none"/>
          <w:lang w:eastAsia="zh-CN"/>
        </w:rPr>
        <w:t>较上年增加</w:t>
      </w:r>
      <w:r>
        <w:rPr>
          <w:rFonts w:hint="eastAsia" w:ascii="仿宋_GB2312" w:hAnsi="仿宋"/>
          <w:color w:val="auto"/>
          <w:szCs w:val="32"/>
          <w:highlight w:val="none"/>
          <w:u w:val="none"/>
        </w:rPr>
        <w:t>的主要原因是</w:t>
      </w:r>
      <w:r>
        <w:rPr>
          <w:rFonts w:hint="eastAsia" w:ascii="仿宋_GB2312" w:hAnsi="仿宋"/>
          <w:color w:val="auto"/>
          <w:szCs w:val="32"/>
          <w:highlight w:val="none"/>
          <w:u w:val="none"/>
          <w:lang w:val="en-US" w:eastAsia="zh-CN"/>
        </w:rPr>
        <w:t>公务往来次数增加，公务用车使用次数增加</w:t>
      </w:r>
      <w:r>
        <w:rPr>
          <w:rFonts w:hint="eastAsia" w:ascii="仿宋_GB2312" w:hAnsi="仿宋"/>
          <w:color w:val="auto"/>
          <w:szCs w:val="32"/>
          <w:highlight w:val="none"/>
          <w:u w:val="none"/>
        </w:rPr>
        <w:t>。</w:t>
      </w:r>
    </w:p>
    <w:p w14:paraId="4A3AF201">
      <w:pPr>
        <w:ind w:firstLine="643" w:firstLineChars="200"/>
        <w:rPr>
          <w:rFonts w:hint="eastAsia" w:ascii="仿宋_GB2312" w:hAnsi="仿宋"/>
          <w:b/>
          <w:color w:val="auto"/>
          <w:szCs w:val="32"/>
        </w:rPr>
      </w:pPr>
      <w:r>
        <w:rPr>
          <w:rFonts w:hint="eastAsia" w:ascii="仿宋_GB2312" w:hAnsi="仿宋"/>
          <w:b/>
          <w:bCs/>
          <w:color w:val="auto"/>
          <w:szCs w:val="32"/>
        </w:rPr>
        <w:t>（二）</w:t>
      </w:r>
      <w:r>
        <w:rPr>
          <w:rFonts w:hint="eastAsia" w:ascii="仿宋_GB2312" w:hAnsi="仿宋"/>
          <w:b/>
          <w:color w:val="auto"/>
          <w:szCs w:val="32"/>
        </w:rPr>
        <w:t>一般公共预算财政拨款“三公”经费支出决算具体情况说明。</w:t>
      </w:r>
    </w:p>
    <w:p w14:paraId="67707EB9">
      <w:pPr>
        <w:ind w:firstLine="640" w:firstLineChars="200"/>
        <w:rPr>
          <w:rFonts w:hint="eastAsia" w:ascii="仿宋_GB2312" w:hAnsi="仿宋"/>
          <w:color w:val="auto"/>
          <w:szCs w:val="32"/>
        </w:rPr>
      </w:pPr>
      <w:r>
        <w:rPr>
          <w:rFonts w:hint="eastAsia" w:ascii="仿宋_GB2312" w:hAnsi="仿宋"/>
          <w:color w:val="auto"/>
          <w:szCs w:val="32"/>
          <w:lang w:eastAsia="zh-CN"/>
        </w:rPr>
        <w:t>黄山市住房公积金管理中心202</w:t>
      </w:r>
      <w:r>
        <w:rPr>
          <w:rFonts w:hint="eastAsia" w:ascii="仿宋_GB2312" w:hAnsi="仿宋"/>
          <w:color w:val="auto"/>
          <w:szCs w:val="32"/>
          <w:lang w:val="en-US" w:eastAsia="zh-CN"/>
        </w:rPr>
        <w:t>3</w:t>
      </w:r>
      <w:r>
        <w:rPr>
          <w:rFonts w:hint="eastAsia" w:ascii="仿宋_GB2312" w:hAnsi="仿宋"/>
          <w:color w:val="auto"/>
          <w:szCs w:val="32"/>
        </w:rPr>
        <w:t>年度一般公共预算财政拨款“三公”经费支出决算中，因公出国（境）费支出决算</w:t>
      </w:r>
      <w:r>
        <w:rPr>
          <w:rFonts w:hint="eastAsia" w:ascii="仿宋_GB2312" w:hAnsi="仿宋"/>
          <w:color w:val="auto"/>
          <w:szCs w:val="32"/>
          <w:lang w:val="en-US" w:eastAsia="zh-CN"/>
        </w:rPr>
        <w:t>0</w:t>
      </w:r>
      <w:r>
        <w:rPr>
          <w:rFonts w:hint="eastAsia" w:ascii="仿宋_GB2312" w:hAnsi="仿宋"/>
          <w:color w:val="auto"/>
          <w:szCs w:val="32"/>
        </w:rPr>
        <w:t>万元，占</w:t>
      </w:r>
      <w:r>
        <w:rPr>
          <w:rFonts w:hint="eastAsia" w:ascii="仿宋_GB2312" w:hAnsi="仿宋"/>
          <w:color w:val="auto"/>
          <w:szCs w:val="32"/>
          <w:lang w:val="en-US" w:eastAsia="zh-CN"/>
        </w:rPr>
        <w:t>0.0</w:t>
      </w:r>
      <w:r>
        <w:rPr>
          <w:rFonts w:hint="eastAsia" w:ascii="仿宋_GB2312" w:hAnsi="仿宋"/>
          <w:color w:val="auto"/>
          <w:szCs w:val="32"/>
        </w:rPr>
        <w:t>%;公务接待费支出决算1.67</w:t>
      </w:r>
      <w:bookmarkStart w:id="0" w:name="_GoBack"/>
      <w:bookmarkEnd w:id="0"/>
      <w:r>
        <w:rPr>
          <w:rFonts w:hint="eastAsia" w:ascii="仿宋_GB2312" w:hAnsi="仿宋"/>
          <w:color w:val="auto"/>
          <w:szCs w:val="32"/>
        </w:rPr>
        <w:t>万元，占</w:t>
      </w:r>
      <w:r>
        <w:rPr>
          <w:rFonts w:hint="eastAsia" w:ascii="仿宋_GB2312" w:hAnsi="仿宋"/>
          <w:color w:val="auto"/>
          <w:szCs w:val="32"/>
          <w:lang w:val="en-US" w:eastAsia="zh-CN"/>
        </w:rPr>
        <w:t>52.8</w:t>
      </w:r>
      <w:r>
        <w:rPr>
          <w:rFonts w:hint="eastAsia" w:ascii="仿宋_GB2312" w:hAnsi="仿宋"/>
          <w:color w:val="auto"/>
          <w:szCs w:val="32"/>
        </w:rPr>
        <w:t>%；公务用车购置及运行维护费支出决算</w:t>
      </w:r>
      <w:r>
        <w:rPr>
          <w:rFonts w:hint="eastAsia" w:ascii="仿宋_GB2312" w:hAnsi="仿宋"/>
          <w:color w:val="auto"/>
          <w:szCs w:val="32"/>
          <w:lang w:val="en-US" w:eastAsia="zh-CN"/>
        </w:rPr>
        <w:t>1.50</w:t>
      </w:r>
      <w:r>
        <w:rPr>
          <w:rFonts w:hint="eastAsia" w:ascii="仿宋_GB2312" w:hAnsi="仿宋"/>
          <w:color w:val="auto"/>
          <w:szCs w:val="32"/>
        </w:rPr>
        <w:t>万元，占</w:t>
      </w:r>
      <w:r>
        <w:rPr>
          <w:rFonts w:hint="eastAsia" w:ascii="仿宋_GB2312" w:hAnsi="仿宋"/>
          <w:color w:val="auto"/>
          <w:szCs w:val="32"/>
          <w:lang w:val="en-US" w:eastAsia="zh-CN"/>
        </w:rPr>
        <w:t>47.2</w:t>
      </w:r>
      <w:r>
        <w:rPr>
          <w:rFonts w:hint="eastAsia" w:ascii="仿宋_GB2312" w:hAnsi="仿宋"/>
          <w:color w:val="auto"/>
          <w:szCs w:val="32"/>
        </w:rPr>
        <w:t>%。具体情况如下：</w:t>
      </w:r>
    </w:p>
    <w:p w14:paraId="36508F6D">
      <w:pPr>
        <w:ind w:firstLine="628"/>
        <w:rPr>
          <w:rFonts w:hint="eastAsia" w:ascii="仿宋_GB2312" w:hAnsi="仿宋"/>
          <w:color w:val="auto"/>
          <w:szCs w:val="32"/>
        </w:rPr>
      </w:pPr>
      <w:r>
        <w:rPr>
          <w:rFonts w:hint="eastAsia" w:ascii="仿宋_GB2312" w:hAnsi="仿宋"/>
          <w:b/>
          <w:bCs/>
          <w:color w:val="auto"/>
          <w:szCs w:val="32"/>
        </w:rPr>
        <w:t>1.因公出国（境）费</w:t>
      </w:r>
      <w:r>
        <w:rPr>
          <w:rFonts w:hint="eastAsia" w:ascii="仿宋_GB2312" w:hAnsi="仿宋"/>
          <w:color w:val="auto"/>
          <w:szCs w:val="32"/>
          <w:lang w:eastAsia="zh-CN"/>
        </w:rPr>
        <w:t>预算为</w:t>
      </w:r>
      <w:r>
        <w:rPr>
          <w:rFonts w:hint="eastAsia" w:ascii="仿宋_GB2312" w:hAnsi="仿宋"/>
          <w:color w:val="auto"/>
          <w:szCs w:val="32"/>
          <w:lang w:val="en-US" w:eastAsia="zh-CN"/>
        </w:rPr>
        <w:t>0</w:t>
      </w:r>
      <w:r>
        <w:rPr>
          <w:rFonts w:hint="eastAsia" w:ascii="仿宋_GB2312" w:hAnsi="仿宋"/>
          <w:color w:val="auto"/>
          <w:szCs w:val="32"/>
          <w:lang w:eastAsia="zh-CN"/>
        </w:rPr>
        <w:t>万元，支出决算为</w:t>
      </w:r>
      <w:r>
        <w:rPr>
          <w:rFonts w:hint="eastAsia" w:ascii="仿宋_GB2312" w:hAnsi="仿宋"/>
          <w:color w:val="auto"/>
          <w:szCs w:val="32"/>
          <w:lang w:val="en-US" w:eastAsia="zh-CN"/>
        </w:rPr>
        <w:t>0万元</w:t>
      </w:r>
      <w:r>
        <w:rPr>
          <w:rFonts w:hint="eastAsia" w:ascii="仿宋_GB2312" w:hAnsi="仿宋"/>
          <w:color w:val="auto"/>
          <w:szCs w:val="32"/>
          <w:lang w:eastAsia="zh-CN"/>
        </w:rPr>
        <w:t>，完成预算的</w:t>
      </w:r>
      <w:r>
        <w:rPr>
          <w:rFonts w:hint="eastAsia" w:ascii="仿宋_GB2312" w:hAnsi="仿宋"/>
          <w:color w:val="auto"/>
          <w:szCs w:val="32"/>
          <w:lang w:val="en-US" w:eastAsia="zh-CN"/>
        </w:rPr>
        <w:t>100</w:t>
      </w:r>
      <w:r>
        <w:rPr>
          <w:rFonts w:hint="eastAsia" w:ascii="仿宋_GB2312" w:hAnsi="仿宋"/>
          <w:color w:val="auto"/>
          <w:szCs w:val="32"/>
          <w:lang w:eastAsia="zh-CN"/>
        </w:rPr>
        <w:t>%，决算数与预算数相同；</w:t>
      </w:r>
      <w:r>
        <w:rPr>
          <w:rFonts w:hint="eastAsia" w:ascii="仿宋_GB2312" w:hAnsi="仿宋"/>
          <w:color w:val="auto"/>
          <w:szCs w:val="32"/>
          <w:u w:val="none"/>
          <w:lang w:val="en-US" w:eastAsia="zh-CN"/>
        </w:rPr>
        <w:t>与</w:t>
      </w:r>
      <w:r>
        <w:rPr>
          <w:rFonts w:hint="eastAsia" w:ascii="仿宋_GB2312" w:hAnsi="仿宋"/>
          <w:color w:val="auto"/>
          <w:szCs w:val="32"/>
          <w:u w:val="none"/>
          <w:lang w:eastAsia="zh-CN"/>
        </w:rPr>
        <w:t>上年减少</w:t>
      </w:r>
      <w:r>
        <w:rPr>
          <w:rFonts w:hint="eastAsia" w:ascii="仿宋_GB2312" w:hAnsi="仿宋"/>
          <w:color w:val="auto"/>
          <w:szCs w:val="32"/>
          <w:u w:val="none"/>
          <w:lang w:val="en-US" w:eastAsia="zh-CN"/>
        </w:rPr>
        <w:t>0万元，下降0%。</w:t>
      </w:r>
      <w:r>
        <w:rPr>
          <w:rFonts w:hint="eastAsia" w:ascii="仿宋_GB2312" w:hAnsi="仿宋"/>
          <w:color w:val="auto"/>
          <w:szCs w:val="32"/>
          <w:u w:val="none"/>
        </w:rPr>
        <w:t>原因是</w:t>
      </w:r>
      <w:r>
        <w:rPr>
          <w:rFonts w:hint="eastAsia" w:ascii="仿宋_GB2312" w:hAnsi="仿宋"/>
          <w:color w:val="auto"/>
          <w:szCs w:val="32"/>
          <w:u w:val="none"/>
          <w:lang w:val="en-US" w:eastAsia="zh-CN"/>
        </w:rPr>
        <w:t>2022年度、2023年度均未安排因公出国（境）计划。故</w:t>
      </w:r>
      <w:r>
        <w:rPr>
          <w:rFonts w:hint="eastAsia" w:ascii="仿宋_GB2312" w:hAnsi="仿宋"/>
          <w:color w:val="auto"/>
          <w:szCs w:val="32"/>
          <w:lang w:eastAsia="zh-CN"/>
        </w:rPr>
        <w:t>202</w:t>
      </w:r>
      <w:r>
        <w:rPr>
          <w:rFonts w:hint="eastAsia" w:ascii="仿宋_GB2312" w:hAnsi="仿宋"/>
          <w:color w:val="auto"/>
          <w:szCs w:val="32"/>
          <w:lang w:val="en-US" w:eastAsia="zh-CN"/>
        </w:rPr>
        <w:t>3</w:t>
      </w:r>
      <w:r>
        <w:rPr>
          <w:rFonts w:hint="eastAsia" w:ascii="仿宋_GB2312" w:hAnsi="仿宋"/>
          <w:color w:val="auto"/>
          <w:szCs w:val="32"/>
        </w:rPr>
        <w:t>年</w:t>
      </w:r>
      <w:r>
        <w:rPr>
          <w:rFonts w:hint="eastAsia" w:ascii="仿宋_GB2312" w:hAnsi="仿宋"/>
          <w:color w:val="auto"/>
          <w:szCs w:val="32"/>
          <w:lang w:eastAsia="zh-CN"/>
        </w:rPr>
        <w:t>黄山市住房公积金管理中心</w:t>
      </w:r>
      <w:r>
        <w:rPr>
          <w:rFonts w:hint="eastAsia" w:ascii="仿宋_GB2312" w:hAnsi="仿宋"/>
          <w:color w:val="auto"/>
          <w:szCs w:val="32"/>
        </w:rPr>
        <w:t>因公出国（境）团组</w:t>
      </w:r>
      <w:r>
        <w:rPr>
          <w:rFonts w:hint="eastAsia" w:ascii="仿宋_GB2312" w:hAnsi="仿宋"/>
          <w:color w:val="auto"/>
          <w:szCs w:val="32"/>
          <w:lang w:val="en-US" w:eastAsia="zh-CN"/>
        </w:rPr>
        <w:t>0</w:t>
      </w:r>
      <w:r>
        <w:rPr>
          <w:rFonts w:hint="eastAsia" w:ascii="仿宋_GB2312" w:hAnsi="仿宋"/>
          <w:color w:val="auto"/>
          <w:szCs w:val="32"/>
        </w:rPr>
        <w:t>次，累计出国（境）</w:t>
      </w:r>
      <w:r>
        <w:rPr>
          <w:rFonts w:hint="eastAsia" w:ascii="仿宋_GB2312" w:hAnsi="仿宋"/>
          <w:color w:val="auto"/>
          <w:szCs w:val="32"/>
          <w:lang w:val="en-US" w:eastAsia="zh-CN"/>
        </w:rPr>
        <w:t>0</w:t>
      </w:r>
      <w:r>
        <w:rPr>
          <w:rFonts w:hint="eastAsia" w:ascii="仿宋_GB2312" w:hAnsi="仿宋"/>
          <w:color w:val="auto"/>
          <w:szCs w:val="32"/>
        </w:rPr>
        <w:t>人次。</w:t>
      </w:r>
    </w:p>
    <w:p w14:paraId="2AC4FBAF">
      <w:pPr>
        <w:ind w:firstLine="643" w:firstLineChars="200"/>
        <w:rPr>
          <w:rFonts w:hint="eastAsia" w:ascii="仿宋_GB2312" w:hAnsi="仿宋"/>
          <w:color w:val="auto"/>
          <w:szCs w:val="32"/>
        </w:rPr>
      </w:pPr>
      <w:r>
        <w:rPr>
          <w:rFonts w:hint="eastAsia" w:ascii="仿宋_GB2312" w:hAnsi="仿宋"/>
          <w:b/>
          <w:bCs/>
          <w:color w:val="auto"/>
          <w:szCs w:val="32"/>
        </w:rPr>
        <w:t>2.公务接待费</w:t>
      </w:r>
      <w:r>
        <w:rPr>
          <w:rFonts w:hint="eastAsia" w:ascii="仿宋_GB2312" w:hAnsi="仿宋"/>
          <w:color w:val="auto"/>
          <w:szCs w:val="32"/>
          <w:lang w:eastAsia="zh-CN"/>
        </w:rPr>
        <w:t>预算为</w:t>
      </w:r>
      <w:r>
        <w:rPr>
          <w:rFonts w:hint="eastAsia" w:ascii="仿宋_GB2312" w:hAnsi="仿宋"/>
          <w:color w:val="auto"/>
          <w:szCs w:val="32"/>
          <w:lang w:val="en-US" w:eastAsia="zh-CN"/>
        </w:rPr>
        <w:t>8.9</w:t>
      </w:r>
      <w:r>
        <w:rPr>
          <w:rFonts w:hint="eastAsia" w:ascii="仿宋_GB2312" w:hAnsi="仿宋"/>
          <w:color w:val="auto"/>
          <w:szCs w:val="32"/>
          <w:lang w:eastAsia="zh-CN"/>
        </w:rPr>
        <w:t>万元，支出决算为</w:t>
      </w:r>
      <w:r>
        <w:rPr>
          <w:rFonts w:hint="eastAsia" w:ascii="仿宋_GB2312" w:hAnsi="仿宋"/>
          <w:color w:val="auto"/>
          <w:szCs w:val="32"/>
          <w:lang w:val="en-US" w:eastAsia="zh-CN"/>
        </w:rPr>
        <w:t>1.67万元</w:t>
      </w:r>
      <w:r>
        <w:rPr>
          <w:rFonts w:hint="eastAsia" w:ascii="仿宋_GB2312" w:hAnsi="仿宋"/>
          <w:color w:val="auto"/>
          <w:szCs w:val="32"/>
          <w:lang w:eastAsia="zh-CN"/>
        </w:rPr>
        <w:t>，完成预算的</w:t>
      </w:r>
      <w:r>
        <w:rPr>
          <w:rFonts w:hint="eastAsia" w:ascii="仿宋_GB2312" w:hAnsi="仿宋"/>
          <w:color w:val="auto"/>
          <w:szCs w:val="32"/>
          <w:lang w:val="en-US" w:eastAsia="zh-CN"/>
        </w:rPr>
        <w:t>18.8</w:t>
      </w:r>
      <w:r>
        <w:rPr>
          <w:rFonts w:hint="eastAsia" w:ascii="仿宋_GB2312" w:hAnsi="仿宋"/>
          <w:color w:val="auto"/>
          <w:szCs w:val="32"/>
          <w:lang w:eastAsia="zh-CN"/>
        </w:rPr>
        <w:t>%；</w:t>
      </w:r>
      <w:r>
        <w:rPr>
          <w:rFonts w:hint="eastAsia" w:ascii="仿宋_GB2312" w:hAnsi="仿宋"/>
          <w:color w:val="auto"/>
          <w:szCs w:val="32"/>
          <w:u w:val="none"/>
          <w:lang w:eastAsia="zh-CN"/>
        </w:rPr>
        <w:t>较上年增加</w:t>
      </w:r>
      <w:r>
        <w:rPr>
          <w:rFonts w:hint="eastAsia" w:ascii="仿宋_GB2312" w:hAnsi="仿宋"/>
          <w:color w:val="auto"/>
          <w:szCs w:val="32"/>
          <w:u w:val="none"/>
          <w:lang w:val="en-US" w:eastAsia="zh-CN"/>
        </w:rPr>
        <w:t>0.79</w:t>
      </w:r>
      <w:r>
        <w:rPr>
          <w:rFonts w:hint="eastAsia" w:ascii="仿宋_GB2312" w:hAnsi="仿宋"/>
          <w:color w:val="auto"/>
          <w:szCs w:val="32"/>
          <w:u w:val="none"/>
        </w:rPr>
        <w:t>万元</w:t>
      </w:r>
      <w:r>
        <w:rPr>
          <w:rFonts w:hint="eastAsia" w:ascii="仿宋_GB2312" w:hAnsi="仿宋"/>
          <w:color w:val="auto"/>
          <w:szCs w:val="32"/>
          <w:u w:val="none"/>
          <w:lang w:eastAsia="zh-CN"/>
        </w:rPr>
        <w:t>，增长</w:t>
      </w:r>
      <w:r>
        <w:rPr>
          <w:rFonts w:hint="eastAsia" w:ascii="仿宋_GB2312" w:hAnsi="仿宋"/>
          <w:color w:val="auto"/>
          <w:szCs w:val="32"/>
          <w:u w:val="none"/>
          <w:lang w:val="en-US" w:eastAsia="zh-CN"/>
        </w:rPr>
        <w:t>89.8%。</w:t>
      </w:r>
      <w:r>
        <w:rPr>
          <w:rFonts w:hint="eastAsia" w:ascii="仿宋_GB2312" w:hAnsi="仿宋"/>
          <w:color w:val="auto"/>
          <w:szCs w:val="32"/>
          <w:u w:val="none"/>
        </w:rPr>
        <w:t>决算数</w:t>
      </w:r>
      <w:r>
        <w:rPr>
          <w:rFonts w:hint="eastAsia" w:ascii="仿宋_GB2312" w:hAnsi="仿宋"/>
          <w:color w:val="auto"/>
          <w:szCs w:val="32"/>
          <w:u w:val="none"/>
          <w:lang w:eastAsia="zh-CN"/>
        </w:rPr>
        <w:t>小</w:t>
      </w:r>
      <w:r>
        <w:rPr>
          <w:rFonts w:hint="eastAsia" w:ascii="仿宋_GB2312" w:hAnsi="仿宋"/>
          <w:color w:val="auto"/>
          <w:szCs w:val="32"/>
          <w:u w:val="none"/>
        </w:rPr>
        <w:t>于预算数的主要原因是</w:t>
      </w:r>
      <w:r>
        <w:rPr>
          <w:rFonts w:hint="eastAsia" w:ascii="仿宋_GB2312" w:hAnsi="仿宋" w:cs="Times New Roman"/>
          <w:color w:val="auto"/>
          <w:szCs w:val="32"/>
          <w:u w:val="none"/>
          <w:lang w:eastAsia="zh-CN"/>
        </w:rPr>
        <w:t>严格贯彻落实中央八项规定和省、市相关规定，修订完善相关管理制度，规范公务接待行为，大量减少了公务接待支</w:t>
      </w:r>
      <w:r>
        <w:rPr>
          <w:rFonts w:hint="eastAsia" w:ascii="仿宋_GB2312" w:hAnsi="仿宋" w:cs="Times New Roman"/>
          <w:color w:val="auto"/>
          <w:szCs w:val="32"/>
          <w:highlight w:val="none"/>
          <w:u w:val="none"/>
          <w:lang w:eastAsia="zh-CN"/>
        </w:rPr>
        <w:t>出</w:t>
      </w:r>
      <w:r>
        <w:rPr>
          <w:rFonts w:hint="eastAsia" w:ascii="仿宋_GB2312" w:hAnsi="仿宋"/>
          <w:color w:val="auto"/>
          <w:szCs w:val="32"/>
          <w:highlight w:val="none"/>
          <w:u w:val="none"/>
        </w:rPr>
        <w:t>。决算数</w:t>
      </w:r>
      <w:r>
        <w:rPr>
          <w:rFonts w:hint="eastAsia" w:ascii="仿宋_GB2312" w:hAnsi="仿宋"/>
          <w:color w:val="auto"/>
          <w:szCs w:val="32"/>
          <w:highlight w:val="none"/>
          <w:u w:val="none"/>
          <w:lang w:eastAsia="zh-CN"/>
        </w:rPr>
        <w:t>较上年增加</w:t>
      </w:r>
      <w:r>
        <w:rPr>
          <w:rFonts w:hint="eastAsia" w:ascii="仿宋_GB2312" w:hAnsi="仿宋"/>
          <w:color w:val="auto"/>
          <w:szCs w:val="32"/>
          <w:highlight w:val="none"/>
          <w:u w:val="none"/>
        </w:rPr>
        <w:t>的主要原因是</w:t>
      </w:r>
      <w:r>
        <w:rPr>
          <w:rFonts w:hint="eastAsia" w:ascii="仿宋_GB2312" w:hAnsi="仿宋"/>
          <w:color w:val="auto"/>
          <w:szCs w:val="32"/>
          <w:highlight w:val="none"/>
          <w:u w:val="none"/>
          <w:lang w:val="en-US" w:eastAsia="zh-CN"/>
        </w:rPr>
        <w:t>较上年对比2023年度公务往来次数增加</w:t>
      </w:r>
      <w:r>
        <w:rPr>
          <w:rFonts w:hint="eastAsia" w:ascii="仿宋_GB2312" w:hAnsi="仿宋"/>
          <w:color w:val="auto"/>
          <w:szCs w:val="32"/>
          <w:highlight w:val="none"/>
          <w:u w:val="none"/>
        </w:rPr>
        <w:t>。</w:t>
      </w:r>
      <w:r>
        <w:rPr>
          <w:rFonts w:hint="eastAsia" w:ascii="仿宋_GB2312" w:hAnsi="仿宋"/>
          <w:color w:val="auto"/>
          <w:szCs w:val="32"/>
          <w:highlight w:val="none"/>
          <w:lang w:eastAsia="zh-CN"/>
        </w:rPr>
        <w:t>202</w:t>
      </w:r>
      <w:r>
        <w:rPr>
          <w:rFonts w:hint="eastAsia" w:ascii="仿宋_GB2312" w:hAnsi="仿宋"/>
          <w:color w:val="auto"/>
          <w:szCs w:val="32"/>
          <w:highlight w:val="none"/>
          <w:lang w:val="en-US" w:eastAsia="zh-CN"/>
        </w:rPr>
        <w:t>3</w:t>
      </w:r>
      <w:r>
        <w:rPr>
          <w:rFonts w:hint="eastAsia" w:ascii="仿宋_GB2312" w:hAnsi="仿宋"/>
          <w:color w:val="auto"/>
          <w:szCs w:val="32"/>
          <w:highlight w:val="none"/>
        </w:rPr>
        <w:t>年</w:t>
      </w:r>
      <w:r>
        <w:rPr>
          <w:rFonts w:hint="eastAsia" w:ascii="仿宋_GB2312" w:hAnsi="仿宋"/>
          <w:color w:val="auto"/>
          <w:szCs w:val="32"/>
          <w:highlight w:val="none"/>
          <w:lang w:eastAsia="zh-CN"/>
        </w:rPr>
        <w:t>黄山市住房公积金管理中心</w:t>
      </w:r>
      <w:r>
        <w:rPr>
          <w:rFonts w:hint="eastAsia" w:ascii="仿宋_GB2312" w:hAnsi="仿宋"/>
          <w:color w:val="auto"/>
          <w:szCs w:val="32"/>
          <w:highlight w:val="none"/>
        </w:rPr>
        <w:t>国内公务接待共</w:t>
      </w:r>
      <w:r>
        <w:rPr>
          <w:rFonts w:hint="eastAsia" w:ascii="仿宋_GB2312" w:hAnsi="仿宋"/>
          <w:color w:val="auto"/>
          <w:szCs w:val="32"/>
          <w:highlight w:val="none"/>
          <w:lang w:val="en-US" w:eastAsia="zh-CN"/>
        </w:rPr>
        <w:t>22</w:t>
      </w:r>
      <w:r>
        <w:rPr>
          <w:rFonts w:hint="eastAsia" w:ascii="仿宋_GB2312" w:hAnsi="仿宋"/>
          <w:color w:val="auto"/>
          <w:szCs w:val="32"/>
          <w:highlight w:val="none"/>
        </w:rPr>
        <w:t>批次（其中外事接待</w:t>
      </w:r>
      <w:r>
        <w:rPr>
          <w:rFonts w:hint="eastAsia" w:ascii="仿宋_GB2312" w:hAnsi="仿宋"/>
          <w:color w:val="auto"/>
          <w:szCs w:val="32"/>
          <w:highlight w:val="none"/>
          <w:lang w:val="en-US" w:eastAsia="zh-CN"/>
        </w:rPr>
        <w:t>0</w:t>
      </w:r>
      <w:r>
        <w:rPr>
          <w:rFonts w:hint="eastAsia" w:ascii="仿宋_GB2312" w:hAnsi="仿宋"/>
          <w:color w:val="auto"/>
          <w:szCs w:val="32"/>
          <w:highlight w:val="none"/>
        </w:rPr>
        <w:t>批次），</w:t>
      </w:r>
      <w:r>
        <w:rPr>
          <w:rFonts w:hint="eastAsia" w:ascii="仿宋_GB2312" w:hAnsi="仿宋"/>
          <w:color w:val="auto"/>
          <w:szCs w:val="32"/>
          <w:highlight w:val="none"/>
          <w:lang w:val="en-US" w:eastAsia="zh-CN"/>
        </w:rPr>
        <w:t>312</w:t>
      </w:r>
      <w:r>
        <w:rPr>
          <w:rFonts w:hint="eastAsia" w:ascii="仿宋_GB2312" w:hAnsi="仿宋"/>
          <w:color w:val="auto"/>
          <w:szCs w:val="32"/>
          <w:highlight w:val="none"/>
        </w:rPr>
        <w:t>人次（其中外事接待</w:t>
      </w:r>
      <w:r>
        <w:rPr>
          <w:rFonts w:hint="eastAsia" w:ascii="仿宋_GB2312" w:hAnsi="仿宋"/>
          <w:color w:val="auto"/>
          <w:szCs w:val="32"/>
          <w:highlight w:val="none"/>
          <w:lang w:val="en-US" w:eastAsia="zh-CN"/>
        </w:rPr>
        <w:t>0</w:t>
      </w:r>
      <w:r>
        <w:rPr>
          <w:rFonts w:hint="eastAsia" w:ascii="仿宋_GB2312" w:hAnsi="仿宋"/>
          <w:color w:val="auto"/>
          <w:szCs w:val="32"/>
          <w:highlight w:val="none"/>
        </w:rPr>
        <w:t>人次）。</w:t>
      </w:r>
      <w:r>
        <w:rPr>
          <w:rFonts w:hint="eastAsia" w:ascii="仿宋_GB2312" w:hAnsi="仿宋" w:cs="Times New Roman"/>
          <w:szCs w:val="32"/>
          <w:highlight w:val="none"/>
        </w:rPr>
        <w:t>主要</w:t>
      </w:r>
      <w:r>
        <w:rPr>
          <w:rFonts w:hint="eastAsia" w:ascii="仿宋_GB2312" w:hAnsi="仿宋" w:cs="Times New Roman"/>
          <w:szCs w:val="32"/>
        </w:rPr>
        <w:t>是用于外地市及外来单位来人接待，以及区县联系工作安排工作餐等支出。</w:t>
      </w:r>
      <w:r>
        <w:rPr>
          <w:rFonts w:hint="eastAsia" w:ascii="仿宋_GB2312" w:hAnsi="仿宋"/>
          <w:color w:val="auto"/>
          <w:szCs w:val="32"/>
        </w:rPr>
        <w:t>经费使用贯彻中央八项规定</w:t>
      </w:r>
      <w:r>
        <w:rPr>
          <w:rFonts w:hint="eastAsia" w:ascii="仿宋_GB2312" w:hAnsi="仿宋"/>
          <w:color w:val="auto"/>
          <w:szCs w:val="32"/>
          <w:lang w:eastAsia="zh-CN"/>
        </w:rPr>
        <w:t>精神</w:t>
      </w:r>
      <w:r>
        <w:rPr>
          <w:rFonts w:hint="eastAsia" w:ascii="仿宋_GB2312" w:hAnsi="仿宋"/>
          <w:color w:val="auto"/>
          <w:szCs w:val="32"/>
        </w:rPr>
        <w:t>，严格执行《党政机关厉行节约反对浪费条例》</w:t>
      </w:r>
      <w:r>
        <w:rPr>
          <w:rFonts w:hint="eastAsia" w:ascii="仿宋_GB2312" w:hAnsi="仿宋"/>
          <w:szCs w:val="32"/>
        </w:rPr>
        <w:t>《黄山市党政机关国内公务接待管理细则》（黄办〔2014〕21号）、《黄山市党政机关国内公务考察及公务接待管理暂行办法》（黄办〔2013〕11号）、《黄山市市直机关外宾接待经费管理办法》（黄财行〔2014〕317号）、《关于进一步加强公务接待经费管理的通知》（黄财行〔2015〕315号）</w:t>
      </w:r>
      <w:r>
        <w:rPr>
          <w:rFonts w:hint="eastAsia" w:ascii="仿宋_GB2312" w:hAnsi="仿宋"/>
          <w:color w:val="auto"/>
          <w:szCs w:val="32"/>
          <w:lang w:eastAsia="zh-CN"/>
        </w:rPr>
        <w:t>等</w:t>
      </w:r>
      <w:r>
        <w:rPr>
          <w:rFonts w:hint="eastAsia" w:ascii="仿宋_GB2312" w:hAnsi="仿宋"/>
          <w:color w:val="auto"/>
          <w:szCs w:val="32"/>
        </w:rPr>
        <w:t>相关规定。</w:t>
      </w:r>
    </w:p>
    <w:p w14:paraId="400B7FC8">
      <w:pPr>
        <w:ind w:firstLine="643" w:firstLineChars="200"/>
        <w:rPr>
          <w:rFonts w:hint="eastAsia" w:ascii="仿宋_GB2312" w:hAnsi="仿宋"/>
          <w:color w:val="auto"/>
          <w:szCs w:val="32"/>
          <w:u w:val="none"/>
        </w:rPr>
      </w:pPr>
      <w:r>
        <w:rPr>
          <w:rFonts w:hint="eastAsia" w:ascii="仿宋_GB2312" w:hAnsi="仿宋"/>
          <w:b/>
          <w:bCs/>
          <w:color w:val="auto"/>
          <w:szCs w:val="32"/>
        </w:rPr>
        <w:t>3.公务用车购置及运行维护费</w:t>
      </w:r>
      <w:r>
        <w:rPr>
          <w:rFonts w:hint="eastAsia" w:ascii="仿宋_GB2312" w:hAnsi="仿宋"/>
          <w:color w:val="auto"/>
          <w:szCs w:val="32"/>
          <w:lang w:eastAsia="zh-CN"/>
        </w:rPr>
        <w:t>预算为</w:t>
      </w:r>
      <w:r>
        <w:rPr>
          <w:rFonts w:hint="eastAsia" w:ascii="仿宋_GB2312" w:hAnsi="仿宋"/>
          <w:color w:val="auto"/>
          <w:szCs w:val="32"/>
          <w:lang w:val="en-US" w:eastAsia="zh-CN"/>
        </w:rPr>
        <w:t>3</w:t>
      </w:r>
      <w:r>
        <w:rPr>
          <w:rFonts w:hint="eastAsia" w:ascii="仿宋_GB2312" w:hAnsi="仿宋"/>
          <w:color w:val="auto"/>
          <w:szCs w:val="32"/>
          <w:lang w:eastAsia="zh-CN"/>
        </w:rPr>
        <w:t>万元，支出决算为</w:t>
      </w:r>
      <w:r>
        <w:rPr>
          <w:rFonts w:hint="eastAsia" w:ascii="仿宋_GB2312" w:hAnsi="仿宋"/>
          <w:color w:val="auto"/>
          <w:szCs w:val="32"/>
          <w:lang w:val="en-US" w:eastAsia="zh-CN"/>
        </w:rPr>
        <w:t>1.5万元</w:t>
      </w:r>
      <w:r>
        <w:rPr>
          <w:rFonts w:hint="eastAsia" w:ascii="仿宋_GB2312" w:hAnsi="仿宋"/>
          <w:color w:val="auto"/>
          <w:szCs w:val="32"/>
          <w:lang w:eastAsia="zh-CN"/>
        </w:rPr>
        <w:t>，完成预算的</w:t>
      </w:r>
      <w:r>
        <w:rPr>
          <w:rFonts w:hint="eastAsia" w:ascii="仿宋_GB2312" w:hAnsi="仿宋"/>
          <w:color w:val="auto"/>
          <w:szCs w:val="32"/>
          <w:lang w:val="en-US" w:eastAsia="zh-CN"/>
        </w:rPr>
        <w:t>50.0</w:t>
      </w:r>
      <w:r>
        <w:rPr>
          <w:rFonts w:hint="eastAsia" w:ascii="仿宋_GB2312" w:hAnsi="仿宋"/>
          <w:color w:val="auto"/>
          <w:szCs w:val="32"/>
          <w:lang w:eastAsia="zh-CN"/>
        </w:rPr>
        <w:t>%；</w:t>
      </w:r>
      <w:r>
        <w:rPr>
          <w:rFonts w:hint="eastAsia" w:ascii="仿宋_GB2312" w:hAnsi="仿宋"/>
          <w:color w:val="auto"/>
          <w:szCs w:val="32"/>
          <w:u w:val="none"/>
          <w:lang w:eastAsia="zh-CN"/>
        </w:rPr>
        <w:t>较上年增加</w:t>
      </w:r>
      <w:r>
        <w:rPr>
          <w:rFonts w:hint="eastAsia" w:ascii="仿宋_GB2312" w:hAnsi="仿宋"/>
          <w:color w:val="auto"/>
          <w:szCs w:val="32"/>
          <w:u w:val="none"/>
          <w:lang w:val="en-US" w:eastAsia="zh-CN"/>
        </w:rPr>
        <w:t>0.58</w:t>
      </w:r>
      <w:r>
        <w:rPr>
          <w:rFonts w:hint="eastAsia" w:ascii="仿宋_GB2312" w:hAnsi="仿宋"/>
          <w:color w:val="auto"/>
          <w:szCs w:val="32"/>
          <w:u w:val="none"/>
        </w:rPr>
        <w:t>万元</w:t>
      </w:r>
      <w:r>
        <w:rPr>
          <w:rFonts w:hint="eastAsia" w:ascii="仿宋_GB2312" w:hAnsi="仿宋"/>
          <w:color w:val="auto"/>
          <w:szCs w:val="32"/>
          <w:u w:val="none"/>
          <w:lang w:eastAsia="zh-CN"/>
        </w:rPr>
        <w:t>，增长</w:t>
      </w:r>
      <w:r>
        <w:rPr>
          <w:rFonts w:hint="eastAsia" w:ascii="仿宋_GB2312" w:hAnsi="仿宋"/>
          <w:color w:val="auto"/>
          <w:szCs w:val="32"/>
          <w:u w:val="none"/>
          <w:lang w:val="en-US" w:eastAsia="zh-CN"/>
        </w:rPr>
        <w:t>63.0%。</w:t>
      </w:r>
      <w:r>
        <w:rPr>
          <w:rFonts w:hint="eastAsia" w:ascii="仿宋_GB2312" w:hAnsi="仿宋"/>
          <w:color w:val="auto"/>
          <w:szCs w:val="32"/>
          <w:u w:val="none"/>
        </w:rPr>
        <w:t>决算数</w:t>
      </w:r>
      <w:r>
        <w:rPr>
          <w:rFonts w:hint="eastAsia" w:ascii="仿宋_GB2312" w:hAnsi="仿宋"/>
          <w:color w:val="auto"/>
          <w:szCs w:val="32"/>
          <w:u w:val="none"/>
          <w:lang w:eastAsia="zh-CN"/>
        </w:rPr>
        <w:t>小</w:t>
      </w:r>
      <w:r>
        <w:rPr>
          <w:rFonts w:hint="eastAsia" w:ascii="仿宋_GB2312" w:hAnsi="仿宋"/>
          <w:color w:val="auto"/>
          <w:szCs w:val="32"/>
          <w:u w:val="none"/>
        </w:rPr>
        <w:t>于预算数的主要原因是</w:t>
      </w:r>
      <w:r>
        <w:rPr>
          <w:rFonts w:hint="eastAsia" w:ascii="仿宋_GB2312" w:hAnsi="仿宋"/>
          <w:color w:val="auto"/>
          <w:szCs w:val="32"/>
          <w:u w:val="none"/>
          <w:lang w:val="en-US" w:eastAsia="zh-CN"/>
        </w:rPr>
        <w:t>厉行节约，减少公务用车维护费支出</w:t>
      </w:r>
      <w:r>
        <w:rPr>
          <w:rFonts w:hint="eastAsia" w:ascii="仿宋_GB2312" w:hAnsi="仿宋"/>
          <w:color w:val="auto"/>
          <w:szCs w:val="32"/>
          <w:u w:val="none"/>
        </w:rPr>
        <w:t>。决算数</w:t>
      </w:r>
      <w:r>
        <w:rPr>
          <w:rFonts w:hint="eastAsia" w:ascii="仿宋_GB2312" w:hAnsi="仿宋"/>
          <w:color w:val="auto"/>
          <w:szCs w:val="32"/>
          <w:u w:val="none"/>
          <w:lang w:eastAsia="zh-CN"/>
        </w:rPr>
        <w:t>较上年增加</w:t>
      </w:r>
      <w:r>
        <w:rPr>
          <w:rFonts w:hint="eastAsia" w:ascii="仿宋_GB2312" w:hAnsi="仿宋"/>
          <w:color w:val="auto"/>
          <w:szCs w:val="32"/>
          <w:u w:val="none"/>
        </w:rPr>
        <w:t>的主要原因是</w:t>
      </w:r>
      <w:r>
        <w:rPr>
          <w:rFonts w:hint="eastAsia" w:ascii="仿宋_GB2312" w:hAnsi="仿宋"/>
          <w:color w:val="auto"/>
          <w:szCs w:val="32"/>
          <w:u w:val="none"/>
          <w:lang w:val="en-US" w:eastAsia="zh-CN"/>
        </w:rPr>
        <w:t>公务用车维修费用增加且燃油费相较于上年有所增加</w:t>
      </w:r>
      <w:r>
        <w:rPr>
          <w:rFonts w:hint="eastAsia" w:ascii="仿宋_GB2312" w:hAnsi="仿宋"/>
          <w:color w:val="auto"/>
          <w:szCs w:val="32"/>
          <w:u w:val="none"/>
        </w:rPr>
        <w:t>。</w:t>
      </w:r>
      <w:r>
        <w:rPr>
          <w:rFonts w:hint="eastAsia" w:ascii="仿宋_GB2312" w:hAnsi="仿宋"/>
          <w:color w:val="auto"/>
          <w:szCs w:val="32"/>
        </w:rPr>
        <w:t>其中，公务用车购置费</w:t>
      </w:r>
      <w:r>
        <w:rPr>
          <w:rFonts w:hint="eastAsia" w:ascii="仿宋_GB2312" w:hAnsi="仿宋"/>
          <w:color w:val="auto"/>
          <w:szCs w:val="32"/>
          <w:lang w:eastAsia="zh-CN"/>
        </w:rPr>
        <w:t>预算为</w:t>
      </w:r>
      <w:r>
        <w:rPr>
          <w:rFonts w:hint="eastAsia" w:ascii="仿宋_GB2312" w:hAnsi="仿宋"/>
          <w:color w:val="auto"/>
          <w:szCs w:val="32"/>
          <w:lang w:val="en-US" w:eastAsia="zh-CN"/>
        </w:rPr>
        <w:t>0</w:t>
      </w:r>
      <w:r>
        <w:rPr>
          <w:rFonts w:hint="eastAsia" w:ascii="仿宋_GB2312" w:hAnsi="仿宋"/>
          <w:color w:val="auto"/>
          <w:szCs w:val="32"/>
          <w:lang w:eastAsia="zh-CN"/>
        </w:rPr>
        <w:t>万元，支出决算为</w:t>
      </w:r>
      <w:r>
        <w:rPr>
          <w:rFonts w:hint="eastAsia" w:ascii="仿宋_GB2312" w:hAnsi="仿宋"/>
          <w:color w:val="auto"/>
          <w:szCs w:val="32"/>
          <w:lang w:val="en-US" w:eastAsia="zh-CN"/>
        </w:rPr>
        <w:t>0万元</w:t>
      </w:r>
      <w:r>
        <w:rPr>
          <w:rFonts w:hint="eastAsia" w:ascii="仿宋_GB2312" w:hAnsi="仿宋"/>
          <w:color w:val="auto"/>
          <w:szCs w:val="32"/>
          <w:lang w:eastAsia="zh-CN"/>
        </w:rPr>
        <w:t>，完成预算的</w:t>
      </w:r>
      <w:r>
        <w:rPr>
          <w:rFonts w:hint="eastAsia" w:ascii="仿宋_GB2312" w:hAnsi="仿宋"/>
          <w:color w:val="auto"/>
          <w:szCs w:val="32"/>
          <w:lang w:val="en-US" w:eastAsia="zh-CN"/>
        </w:rPr>
        <w:t>100.0</w:t>
      </w:r>
      <w:r>
        <w:rPr>
          <w:rFonts w:hint="eastAsia" w:ascii="仿宋_GB2312" w:hAnsi="仿宋"/>
          <w:color w:val="auto"/>
          <w:szCs w:val="32"/>
          <w:lang w:eastAsia="zh-CN"/>
        </w:rPr>
        <w:t>%；</w:t>
      </w:r>
      <w:r>
        <w:rPr>
          <w:rFonts w:hint="eastAsia" w:ascii="仿宋_GB2312" w:hAnsi="仿宋"/>
          <w:color w:val="auto"/>
          <w:szCs w:val="32"/>
          <w:u w:val="none"/>
          <w:lang w:val="en-US" w:eastAsia="zh-CN"/>
        </w:rPr>
        <w:t>与</w:t>
      </w:r>
      <w:r>
        <w:rPr>
          <w:rFonts w:hint="eastAsia" w:ascii="仿宋_GB2312" w:hAnsi="仿宋"/>
          <w:color w:val="auto"/>
          <w:szCs w:val="32"/>
          <w:u w:val="none"/>
          <w:lang w:eastAsia="zh-CN"/>
        </w:rPr>
        <w:t>上年</w:t>
      </w:r>
      <w:r>
        <w:rPr>
          <w:rFonts w:hint="eastAsia" w:ascii="仿宋_GB2312" w:hAnsi="仿宋"/>
          <w:color w:val="auto"/>
          <w:szCs w:val="32"/>
          <w:u w:val="none"/>
          <w:lang w:val="en-US" w:eastAsia="zh-CN"/>
        </w:rPr>
        <w:t>持平。</w:t>
      </w:r>
      <w:r>
        <w:rPr>
          <w:rFonts w:hint="eastAsia" w:ascii="仿宋_GB2312" w:hAnsi="仿宋"/>
          <w:color w:val="auto"/>
          <w:szCs w:val="32"/>
          <w:u w:val="none"/>
        </w:rPr>
        <w:t>决算数</w:t>
      </w:r>
      <w:r>
        <w:rPr>
          <w:rFonts w:hint="eastAsia" w:ascii="仿宋_GB2312" w:hAnsi="仿宋"/>
          <w:color w:val="auto"/>
          <w:szCs w:val="32"/>
          <w:u w:val="none"/>
          <w:lang w:val="en-US" w:eastAsia="zh-CN"/>
        </w:rPr>
        <w:t>等于</w:t>
      </w:r>
      <w:r>
        <w:rPr>
          <w:rFonts w:hint="eastAsia" w:ascii="仿宋_GB2312" w:hAnsi="仿宋"/>
          <w:color w:val="auto"/>
          <w:szCs w:val="32"/>
          <w:u w:val="none"/>
        </w:rPr>
        <w:t>预算数的主要原因是</w:t>
      </w:r>
      <w:r>
        <w:rPr>
          <w:rFonts w:hint="eastAsia" w:ascii="仿宋_GB2312" w:hAnsi="仿宋"/>
          <w:color w:val="auto"/>
          <w:szCs w:val="32"/>
          <w:u w:val="none"/>
          <w:lang w:val="en-US" w:eastAsia="zh-CN"/>
        </w:rPr>
        <w:t>2023年无公务用车购置计划</w:t>
      </w:r>
      <w:r>
        <w:rPr>
          <w:rFonts w:hint="eastAsia" w:ascii="仿宋_GB2312" w:hAnsi="仿宋"/>
          <w:color w:val="auto"/>
          <w:szCs w:val="32"/>
          <w:u w:val="none"/>
        </w:rPr>
        <w:t>。决算数</w:t>
      </w:r>
      <w:r>
        <w:rPr>
          <w:rFonts w:hint="eastAsia" w:ascii="仿宋_GB2312" w:hAnsi="仿宋"/>
          <w:color w:val="auto"/>
          <w:szCs w:val="32"/>
          <w:u w:val="none"/>
          <w:lang w:val="en-US" w:eastAsia="zh-CN"/>
        </w:rPr>
        <w:t>与</w:t>
      </w:r>
      <w:r>
        <w:rPr>
          <w:rFonts w:hint="eastAsia" w:ascii="仿宋_GB2312" w:hAnsi="仿宋"/>
          <w:color w:val="auto"/>
          <w:szCs w:val="32"/>
          <w:u w:val="none"/>
          <w:lang w:eastAsia="zh-CN"/>
        </w:rPr>
        <w:t>上年</w:t>
      </w:r>
      <w:r>
        <w:rPr>
          <w:rFonts w:hint="eastAsia" w:ascii="仿宋_GB2312" w:hAnsi="仿宋"/>
          <w:color w:val="auto"/>
          <w:szCs w:val="32"/>
          <w:u w:val="none"/>
          <w:lang w:val="en-US" w:eastAsia="zh-CN"/>
        </w:rPr>
        <w:t>持平</w:t>
      </w:r>
      <w:r>
        <w:rPr>
          <w:rFonts w:hint="eastAsia" w:ascii="仿宋_GB2312" w:hAnsi="仿宋"/>
          <w:color w:val="auto"/>
          <w:szCs w:val="32"/>
          <w:u w:val="none"/>
        </w:rPr>
        <w:t>的主要原因是</w:t>
      </w:r>
      <w:r>
        <w:rPr>
          <w:rFonts w:hint="eastAsia" w:ascii="仿宋_GB2312" w:hAnsi="仿宋"/>
          <w:color w:val="auto"/>
          <w:szCs w:val="32"/>
          <w:u w:val="none"/>
          <w:lang w:val="en-US" w:eastAsia="zh-CN"/>
        </w:rPr>
        <w:t>2022年、2023年均无公务用车购置计划</w:t>
      </w:r>
      <w:r>
        <w:rPr>
          <w:rFonts w:hint="eastAsia" w:ascii="仿宋_GB2312" w:hAnsi="仿宋"/>
          <w:color w:val="auto"/>
          <w:szCs w:val="32"/>
        </w:rPr>
        <w:t>。</w:t>
      </w:r>
      <w:r>
        <w:rPr>
          <w:rFonts w:hint="eastAsia" w:ascii="仿宋_GB2312" w:hAnsi="仿宋"/>
          <w:color w:val="auto"/>
          <w:szCs w:val="32"/>
          <w:lang w:eastAsia="zh-CN"/>
        </w:rPr>
        <w:t>202</w:t>
      </w:r>
      <w:r>
        <w:rPr>
          <w:rFonts w:hint="eastAsia" w:ascii="仿宋_GB2312" w:hAnsi="仿宋"/>
          <w:color w:val="auto"/>
          <w:szCs w:val="32"/>
          <w:lang w:val="en-US" w:eastAsia="zh-CN"/>
        </w:rPr>
        <w:t>3</w:t>
      </w:r>
      <w:r>
        <w:rPr>
          <w:rFonts w:hint="eastAsia" w:ascii="仿宋_GB2312" w:hAnsi="仿宋"/>
          <w:color w:val="auto"/>
          <w:szCs w:val="32"/>
        </w:rPr>
        <w:t>年没有安排公务用车购置费。公务用车运行维护费</w:t>
      </w:r>
      <w:r>
        <w:rPr>
          <w:rFonts w:hint="eastAsia" w:ascii="仿宋_GB2312" w:hAnsi="仿宋"/>
          <w:color w:val="auto"/>
          <w:szCs w:val="32"/>
          <w:lang w:eastAsia="zh-CN"/>
        </w:rPr>
        <w:t>预算为</w:t>
      </w:r>
      <w:r>
        <w:rPr>
          <w:rFonts w:hint="eastAsia" w:ascii="仿宋_GB2312" w:hAnsi="仿宋"/>
          <w:color w:val="auto"/>
          <w:szCs w:val="32"/>
          <w:lang w:val="en-US" w:eastAsia="zh-CN"/>
        </w:rPr>
        <w:t>3</w:t>
      </w:r>
      <w:r>
        <w:rPr>
          <w:rFonts w:hint="eastAsia" w:ascii="仿宋_GB2312" w:hAnsi="仿宋"/>
          <w:color w:val="auto"/>
          <w:szCs w:val="32"/>
          <w:lang w:eastAsia="zh-CN"/>
        </w:rPr>
        <w:t>万元，支出决算为</w:t>
      </w:r>
      <w:r>
        <w:rPr>
          <w:rFonts w:hint="eastAsia" w:ascii="仿宋_GB2312" w:hAnsi="仿宋"/>
          <w:color w:val="auto"/>
          <w:szCs w:val="32"/>
          <w:lang w:val="en-US" w:eastAsia="zh-CN"/>
        </w:rPr>
        <w:t>1.5万元</w:t>
      </w:r>
      <w:r>
        <w:rPr>
          <w:rFonts w:hint="eastAsia" w:ascii="仿宋_GB2312" w:hAnsi="仿宋"/>
          <w:color w:val="auto"/>
          <w:szCs w:val="32"/>
          <w:lang w:eastAsia="zh-CN"/>
        </w:rPr>
        <w:t>，完成预算的</w:t>
      </w:r>
      <w:r>
        <w:rPr>
          <w:rFonts w:hint="eastAsia" w:ascii="仿宋_GB2312" w:hAnsi="仿宋"/>
          <w:color w:val="auto"/>
          <w:szCs w:val="32"/>
          <w:lang w:val="en-US" w:eastAsia="zh-CN"/>
        </w:rPr>
        <w:t>50.0</w:t>
      </w:r>
      <w:r>
        <w:rPr>
          <w:rFonts w:hint="eastAsia" w:ascii="仿宋_GB2312" w:hAnsi="仿宋"/>
          <w:color w:val="auto"/>
          <w:szCs w:val="32"/>
          <w:lang w:eastAsia="zh-CN"/>
        </w:rPr>
        <w:t>%；</w:t>
      </w:r>
      <w:r>
        <w:rPr>
          <w:rFonts w:hint="eastAsia" w:ascii="仿宋_GB2312" w:hAnsi="仿宋"/>
          <w:color w:val="auto"/>
          <w:szCs w:val="32"/>
          <w:u w:val="none"/>
          <w:lang w:eastAsia="zh-CN"/>
        </w:rPr>
        <w:t>较上年增加</w:t>
      </w:r>
      <w:r>
        <w:rPr>
          <w:rFonts w:hint="eastAsia" w:ascii="仿宋_GB2312" w:hAnsi="仿宋"/>
          <w:color w:val="auto"/>
          <w:szCs w:val="32"/>
          <w:u w:val="none"/>
          <w:lang w:val="en-US" w:eastAsia="zh-CN"/>
        </w:rPr>
        <w:t>0.58</w:t>
      </w:r>
      <w:r>
        <w:rPr>
          <w:rFonts w:hint="eastAsia" w:ascii="仿宋_GB2312" w:hAnsi="仿宋"/>
          <w:color w:val="auto"/>
          <w:szCs w:val="32"/>
          <w:u w:val="none"/>
        </w:rPr>
        <w:t>万元</w:t>
      </w:r>
      <w:r>
        <w:rPr>
          <w:rFonts w:hint="eastAsia" w:ascii="仿宋_GB2312" w:hAnsi="仿宋"/>
          <w:color w:val="auto"/>
          <w:szCs w:val="32"/>
          <w:u w:val="none"/>
          <w:lang w:eastAsia="zh-CN"/>
        </w:rPr>
        <w:t>，增长</w:t>
      </w:r>
      <w:r>
        <w:rPr>
          <w:rFonts w:hint="eastAsia" w:ascii="仿宋_GB2312" w:hAnsi="仿宋"/>
          <w:color w:val="auto"/>
          <w:szCs w:val="32"/>
          <w:u w:val="none"/>
          <w:lang w:val="en-US" w:eastAsia="zh-CN"/>
        </w:rPr>
        <w:t>63.0%。</w:t>
      </w:r>
      <w:r>
        <w:rPr>
          <w:rFonts w:hint="eastAsia" w:ascii="仿宋_GB2312" w:hAnsi="仿宋"/>
          <w:color w:val="auto"/>
          <w:szCs w:val="32"/>
          <w:u w:val="none"/>
        </w:rPr>
        <w:t>决算数</w:t>
      </w:r>
      <w:r>
        <w:rPr>
          <w:rFonts w:hint="eastAsia" w:ascii="仿宋_GB2312" w:hAnsi="仿宋"/>
          <w:color w:val="auto"/>
          <w:szCs w:val="32"/>
          <w:u w:val="none"/>
          <w:lang w:eastAsia="zh-CN"/>
        </w:rPr>
        <w:t>小</w:t>
      </w:r>
      <w:r>
        <w:rPr>
          <w:rFonts w:hint="eastAsia" w:ascii="仿宋_GB2312" w:hAnsi="仿宋"/>
          <w:color w:val="auto"/>
          <w:szCs w:val="32"/>
          <w:u w:val="none"/>
        </w:rPr>
        <w:t>于预算数的主要原因是</w:t>
      </w:r>
      <w:r>
        <w:rPr>
          <w:rFonts w:hint="eastAsia" w:ascii="仿宋_GB2312" w:hAnsi="仿宋"/>
          <w:color w:val="auto"/>
          <w:szCs w:val="32"/>
          <w:u w:val="none"/>
          <w:lang w:val="en-US" w:eastAsia="zh-CN"/>
        </w:rPr>
        <w:t>厉行节约，减少公务用车维护费支出</w:t>
      </w:r>
      <w:r>
        <w:rPr>
          <w:rFonts w:hint="eastAsia" w:ascii="仿宋_GB2312" w:hAnsi="仿宋"/>
          <w:color w:val="auto"/>
          <w:szCs w:val="32"/>
          <w:u w:val="none"/>
        </w:rPr>
        <w:t>。决算数</w:t>
      </w:r>
      <w:r>
        <w:rPr>
          <w:rFonts w:hint="eastAsia" w:ascii="仿宋_GB2312" w:hAnsi="仿宋"/>
          <w:color w:val="auto"/>
          <w:szCs w:val="32"/>
          <w:u w:val="none"/>
          <w:lang w:eastAsia="zh-CN"/>
        </w:rPr>
        <w:t>较上年增加</w:t>
      </w:r>
      <w:r>
        <w:rPr>
          <w:rFonts w:hint="eastAsia" w:ascii="仿宋_GB2312" w:hAnsi="仿宋"/>
          <w:color w:val="auto"/>
          <w:szCs w:val="32"/>
          <w:u w:val="none"/>
        </w:rPr>
        <w:t>的主要原因是</w:t>
      </w:r>
      <w:r>
        <w:rPr>
          <w:rFonts w:hint="eastAsia" w:ascii="仿宋_GB2312" w:hAnsi="仿宋"/>
          <w:color w:val="auto"/>
          <w:szCs w:val="32"/>
          <w:u w:val="none"/>
          <w:lang w:val="en-US" w:eastAsia="zh-CN"/>
        </w:rPr>
        <w:t>公务用车维修费用增加且燃油费相较于上年有所增加</w:t>
      </w:r>
      <w:r>
        <w:rPr>
          <w:rFonts w:hint="eastAsia" w:ascii="仿宋_GB2312" w:hAnsi="仿宋"/>
          <w:color w:val="auto"/>
          <w:szCs w:val="32"/>
          <w:u w:val="none"/>
        </w:rPr>
        <w:t>。公务用车运行维护费，包括车辆燃料费、维修费、过路过桥费、保险费等支出，主要用于保障日常公务、监督检查、政策调研等需要</w:t>
      </w:r>
      <w:r>
        <w:rPr>
          <w:rFonts w:hint="eastAsia" w:ascii="仿宋_GB2312" w:hAnsi="仿宋"/>
          <w:color w:val="auto"/>
          <w:szCs w:val="32"/>
          <w:u w:val="none"/>
          <w:lang w:eastAsia="zh-CN"/>
        </w:rPr>
        <w:t>。</w:t>
      </w:r>
      <w:r>
        <w:rPr>
          <w:rFonts w:hint="eastAsia" w:ascii="仿宋_GB2312" w:hAnsi="仿宋"/>
          <w:color w:val="auto"/>
          <w:szCs w:val="32"/>
          <w:u w:val="none"/>
        </w:rPr>
        <w:t>截至</w:t>
      </w:r>
      <w:r>
        <w:rPr>
          <w:rFonts w:hint="eastAsia" w:ascii="仿宋_GB2312" w:hAnsi="仿宋"/>
          <w:color w:val="auto"/>
          <w:szCs w:val="32"/>
          <w:u w:val="none"/>
          <w:lang w:eastAsia="zh-CN"/>
        </w:rPr>
        <w:t>202</w:t>
      </w:r>
      <w:r>
        <w:rPr>
          <w:rFonts w:hint="eastAsia" w:ascii="仿宋_GB2312" w:hAnsi="仿宋"/>
          <w:color w:val="auto"/>
          <w:szCs w:val="32"/>
          <w:u w:val="none"/>
          <w:lang w:val="en-US" w:eastAsia="zh-CN"/>
        </w:rPr>
        <w:t>3</w:t>
      </w:r>
      <w:r>
        <w:rPr>
          <w:rFonts w:hint="eastAsia" w:ascii="仿宋_GB2312" w:hAnsi="仿宋"/>
          <w:color w:val="auto"/>
          <w:szCs w:val="32"/>
          <w:u w:val="none"/>
        </w:rPr>
        <w:t>年12月31日，</w:t>
      </w:r>
      <w:r>
        <w:rPr>
          <w:rFonts w:hint="eastAsia" w:ascii="仿宋_GB2312" w:hAnsi="仿宋"/>
          <w:color w:val="auto"/>
          <w:szCs w:val="32"/>
          <w:u w:val="none"/>
          <w:lang w:eastAsia="zh-CN"/>
        </w:rPr>
        <w:t>黄山市住房公积金管理中心</w:t>
      </w:r>
      <w:r>
        <w:rPr>
          <w:rFonts w:hint="eastAsia" w:ascii="仿宋_GB2312" w:hAnsi="仿宋"/>
          <w:color w:val="auto"/>
          <w:szCs w:val="32"/>
          <w:u w:val="none"/>
        </w:rPr>
        <w:t>机关开支财政拨款的公务用车保有量为</w:t>
      </w:r>
      <w:r>
        <w:rPr>
          <w:rFonts w:hint="eastAsia" w:ascii="仿宋_GB2312" w:hAnsi="仿宋"/>
          <w:color w:val="auto"/>
          <w:szCs w:val="32"/>
          <w:u w:val="none"/>
          <w:lang w:val="en-US" w:eastAsia="zh-CN"/>
        </w:rPr>
        <w:t>1</w:t>
      </w:r>
      <w:r>
        <w:rPr>
          <w:rFonts w:hint="eastAsia" w:ascii="仿宋_GB2312" w:hAnsi="仿宋"/>
          <w:color w:val="auto"/>
          <w:szCs w:val="32"/>
          <w:u w:val="none"/>
        </w:rPr>
        <w:t>辆。</w:t>
      </w:r>
    </w:p>
    <w:p w14:paraId="3165EFF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ViOTgyZWFjODc1OGFiZjAxZDc3NDgwM2M0ZjFhMjAifQ=="/>
  </w:docVars>
  <w:rsids>
    <w:rsidRoot w:val="26B67F4A"/>
    <w:rsid w:val="26B67F4A"/>
    <w:rsid w:val="28F20684"/>
    <w:rsid w:val="40315077"/>
    <w:rsid w:val="48772DC9"/>
    <w:rsid w:val="743C4D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jc w:val="center"/>
    </w:pPr>
    <w:rPr>
      <w:rFonts w:eastAsia="黑体"/>
      <w:sz w:val="36"/>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1700</Words>
  <Characters>1896</Characters>
  <Lines>0</Lines>
  <Paragraphs>0</Paragraphs>
  <TotalTime>11</TotalTime>
  <ScaleCrop>false</ScaleCrop>
  <LinksUpToDate>false</LinksUpToDate>
  <CharactersWithSpaces>1968</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2024-09-19T05:55:00Z</dcterms:created>
  <dc:creator>66250929</dc:creator>
  <cp:lastModifiedBy>sunshine</cp:lastModifiedBy>
  <dcterms:modified xsi:type="dcterms:W3CDTF">2024-11-21T06:47:12Z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8946CDBCF6D9419EAD878AF91298F89D_13</vt:lpwstr>
  </property>
</Properties>
</file>