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华文中宋" w:hAnsi="华文中宋" w:eastAsia="华文中宋" w:cs="华文中宋"/>
          <w:b/>
          <w:sz w:val="52"/>
          <w:szCs w:val="84"/>
        </w:rPr>
      </w:pPr>
    </w:p>
    <w:p>
      <w:pPr>
        <w:adjustRightInd w:val="0"/>
        <w:snapToGrid w:val="0"/>
        <w:spacing w:line="360" w:lineRule="auto"/>
        <w:jc w:val="center"/>
        <w:outlineLvl w:val="0"/>
        <w:rPr>
          <w:rFonts w:hint="eastAsia" w:ascii="华文中宋" w:hAnsi="华文中宋" w:eastAsia="华文中宋" w:cs="华文中宋"/>
          <w:b/>
          <w:sz w:val="48"/>
          <w:szCs w:val="48"/>
        </w:rPr>
      </w:pPr>
      <w:r>
        <w:rPr>
          <w:rFonts w:hint="eastAsia" w:ascii="华文中宋" w:hAnsi="华文中宋" w:eastAsia="华文中宋" w:cs="华文中宋"/>
          <w:b/>
          <w:sz w:val="48"/>
          <w:szCs w:val="48"/>
          <w:lang w:val="en-US" w:eastAsia="zh-CN"/>
        </w:rPr>
        <w:t>黄山市</w:t>
      </w:r>
      <w:r>
        <w:rPr>
          <w:rFonts w:hint="eastAsia" w:ascii="华文中宋" w:hAnsi="华文中宋" w:eastAsia="华文中宋" w:cs="华文中宋"/>
          <w:b/>
          <w:sz w:val="48"/>
          <w:szCs w:val="48"/>
          <w:lang w:eastAsia="zh-CN"/>
        </w:rPr>
        <w:t>住房公积金管理中心</w:t>
      </w:r>
      <w:r>
        <w:rPr>
          <w:rFonts w:hint="eastAsia" w:ascii="华文中宋" w:hAnsi="华文中宋" w:eastAsia="华文中宋" w:cs="华文中宋"/>
          <w:b/>
          <w:sz w:val="48"/>
          <w:szCs w:val="48"/>
        </w:rPr>
        <w:t>2020年</w:t>
      </w:r>
      <w:r>
        <w:rPr>
          <w:rFonts w:hint="eastAsia" w:ascii="华文中宋" w:hAnsi="华文中宋" w:eastAsia="华文中宋" w:cs="华文中宋"/>
          <w:b/>
          <w:color w:val="auto"/>
          <w:sz w:val="48"/>
          <w:szCs w:val="48"/>
        </w:rPr>
        <w:t>度</w:t>
      </w:r>
      <w:r>
        <w:rPr>
          <w:rFonts w:hint="eastAsia" w:ascii="华文中宋" w:hAnsi="华文中宋" w:eastAsia="华文中宋" w:cs="华文中宋"/>
          <w:b/>
          <w:sz w:val="48"/>
          <w:szCs w:val="48"/>
        </w:rPr>
        <w:t>部门决算</w:t>
      </w: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pStyle w:val="3"/>
        <w:adjustRightInd w:val="0"/>
        <w:snapToGrid w:val="0"/>
        <w:spacing w:before="0" w:beforeAutospacing="0" w:after="0" w:afterAutospacing="0" w:line="360" w:lineRule="auto"/>
        <w:jc w:val="center"/>
        <w:rPr>
          <w:rFonts w:hint="eastAsia" w:ascii="黑体" w:hAnsi="黑体" w:eastAsia="黑体"/>
          <w:bCs/>
          <w:sz w:val="44"/>
          <w:szCs w:val="44"/>
        </w:rPr>
      </w:pPr>
      <w:r>
        <w:rPr>
          <w:rFonts w:hint="eastAsia" w:ascii="黑体" w:hAnsi="黑体" w:eastAsia="黑体"/>
          <w:bCs/>
          <w:sz w:val="44"/>
          <w:szCs w:val="44"/>
        </w:rPr>
        <w:t>2021年</w:t>
      </w:r>
      <w:r>
        <w:rPr>
          <w:rFonts w:hint="eastAsia" w:ascii="黑体" w:hAnsi="黑体" w:eastAsia="黑体"/>
          <w:bCs/>
          <w:sz w:val="44"/>
          <w:szCs w:val="44"/>
          <w:lang w:val="en-US" w:eastAsia="zh-CN"/>
        </w:rPr>
        <w:t>9</w:t>
      </w:r>
      <w:r>
        <w:rPr>
          <w:rFonts w:hint="eastAsia" w:ascii="黑体" w:hAnsi="黑体" w:eastAsia="黑体"/>
          <w:bCs/>
          <w:sz w:val="44"/>
          <w:szCs w:val="44"/>
        </w:rPr>
        <w:t>月</w:t>
      </w:r>
    </w:p>
    <w:p>
      <w:pPr>
        <w:spacing w:line="580" w:lineRule="exact"/>
        <w:jc w:val="center"/>
        <w:rPr>
          <w:rFonts w:hint="eastAsia" w:ascii="黑体" w:hAnsi="宋体" w:eastAsia="黑体"/>
          <w:bCs/>
          <w:sz w:val="48"/>
          <w:szCs w:val="48"/>
        </w:rPr>
      </w:pPr>
    </w:p>
    <w:p>
      <w:pPr>
        <w:spacing w:line="580" w:lineRule="exact"/>
        <w:jc w:val="center"/>
        <w:outlineLvl w:val="0"/>
        <w:rPr>
          <w:rFonts w:hint="eastAsia" w:ascii="黑体" w:hAnsi="宋体" w:eastAsia="黑体"/>
          <w:bCs/>
          <w:sz w:val="48"/>
          <w:szCs w:val="48"/>
        </w:rPr>
      </w:pPr>
      <w:r>
        <w:rPr>
          <w:rFonts w:hint="eastAsia" w:ascii="黑体" w:hAnsi="宋体" w:eastAsia="黑体"/>
          <w:bCs/>
          <w:sz w:val="48"/>
          <w:szCs w:val="48"/>
        </w:rPr>
        <w:t>目  录</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宋体" w:hAnsi="宋体"/>
          <w:b/>
          <w:sz w:val="32"/>
          <w:szCs w:val="32"/>
        </w:rPr>
      </w:pPr>
      <w:r>
        <w:rPr>
          <w:rFonts w:hint="eastAsia" w:ascii="宋体" w:hAnsi="宋体"/>
          <w:b/>
          <w:sz w:val="32"/>
          <w:szCs w:val="32"/>
        </w:rPr>
        <w:t xml:space="preserve">第一部分 </w:t>
      </w:r>
      <w:r>
        <w:rPr>
          <w:rFonts w:hint="eastAsia" w:ascii="宋体" w:hAnsi="宋体"/>
          <w:b/>
          <w:sz w:val="32"/>
          <w:szCs w:val="32"/>
          <w:lang w:val="en-US" w:eastAsia="zh-CN"/>
        </w:rPr>
        <w:t>黄山市</w:t>
      </w:r>
      <w:r>
        <w:rPr>
          <w:rFonts w:hint="eastAsia" w:ascii="宋体" w:hAnsi="宋体"/>
          <w:b/>
          <w:sz w:val="32"/>
          <w:szCs w:val="32"/>
          <w:lang w:eastAsia="zh-CN"/>
        </w:rPr>
        <w:t>住房公积金管理中心</w:t>
      </w:r>
      <w:r>
        <w:rPr>
          <w:rFonts w:hint="eastAsia" w:ascii="宋体" w:hAnsi="宋体"/>
          <w:b/>
          <w:sz w:val="32"/>
          <w:szCs w:val="32"/>
        </w:rPr>
        <w:t>概况</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一、部</w:t>
      </w:r>
      <w:r>
        <w:rPr>
          <w:rFonts w:hint="eastAsia" w:ascii="宋体" w:hAnsi="宋体"/>
          <w:bCs/>
          <w:color w:val="auto"/>
          <w:sz w:val="32"/>
          <w:szCs w:val="32"/>
        </w:rPr>
        <w:t>门</w:t>
      </w:r>
      <w:r>
        <w:rPr>
          <w:rFonts w:hint="eastAsia" w:ascii="宋体" w:hAnsi="宋体"/>
          <w:bCs/>
          <w:sz w:val="32"/>
          <w:szCs w:val="32"/>
        </w:rPr>
        <w:t>职责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二、机构设置</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宋体" w:hAnsi="宋体"/>
          <w:b/>
          <w:sz w:val="32"/>
          <w:szCs w:val="32"/>
        </w:rPr>
      </w:pPr>
      <w:r>
        <w:rPr>
          <w:rFonts w:hint="eastAsia" w:ascii="宋体" w:hAnsi="宋体"/>
          <w:b/>
          <w:sz w:val="32"/>
          <w:szCs w:val="32"/>
        </w:rPr>
        <w:t xml:space="preserve">第二部分 </w:t>
      </w:r>
      <w:r>
        <w:rPr>
          <w:rFonts w:hint="eastAsia" w:ascii="宋体" w:hAnsi="宋体"/>
          <w:b/>
          <w:sz w:val="32"/>
          <w:szCs w:val="32"/>
          <w:lang w:val="en-US" w:eastAsia="zh-CN"/>
        </w:rPr>
        <w:t>黄山市</w:t>
      </w:r>
      <w:r>
        <w:rPr>
          <w:rFonts w:hint="eastAsia" w:ascii="宋体" w:hAnsi="宋体"/>
          <w:b/>
          <w:sz w:val="32"/>
          <w:szCs w:val="32"/>
          <w:lang w:eastAsia="zh-CN"/>
        </w:rPr>
        <w:t>住房公积金管理中心</w:t>
      </w:r>
      <w:r>
        <w:rPr>
          <w:rFonts w:hint="eastAsia" w:ascii="宋体" w:hAnsi="宋体"/>
          <w:b/>
          <w:sz w:val="32"/>
          <w:szCs w:val="32"/>
        </w:rPr>
        <w:t>2020年度部门决算表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一、收入支出决算总表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二、收入决算表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三、支出决算表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四、财政拨款收入支出决算总表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五、一般公共预算财政拨款支出决算表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六、一般公共预算财政拨款基本支出决算表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七、政府性基金预算财政拨款收入支出决算表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八、国有资本经营预算财政拨款支出决算表</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宋体" w:hAnsi="宋体"/>
          <w:b/>
          <w:sz w:val="32"/>
          <w:szCs w:val="32"/>
        </w:rPr>
      </w:pPr>
      <w:r>
        <w:rPr>
          <w:rFonts w:hint="eastAsia" w:ascii="宋体" w:hAnsi="宋体"/>
          <w:b/>
          <w:sz w:val="32"/>
          <w:szCs w:val="32"/>
        </w:rPr>
        <w:t xml:space="preserve">第三部分 </w:t>
      </w:r>
      <w:r>
        <w:rPr>
          <w:rFonts w:hint="eastAsia" w:ascii="宋体" w:hAnsi="宋体"/>
          <w:b/>
          <w:sz w:val="32"/>
          <w:szCs w:val="32"/>
          <w:lang w:val="en-US" w:eastAsia="zh-CN"/>
        </w:rPr>
        <w:t>黄山市</w:t>
      </w:r>
      <w:r>
        <w:rPr>
          <w:rFonts w:hint="eastAsia" w:ascii="宋体" w:hAnsi="宋体"/>
          <w:b/>
          <w:sz w:val="32"/>
          <w:szCs w:val="32"/>
          <w:lang w:eastAsia="zh-CN"/>
        </w:rPr>
        <w:t>住房公积金管理中心</w:t>
      </w:r>
      <w:r>
        <w:rPr>
          <w:rFonts w:hint="eastAsia" w:ascii="宋体" w:hAnsi="宋体"/>
          <w:b/>
          <w:sz w:val="32"/>
          <w:szCs w:val="32"/>
        </w:rPr>
        <w:t>2020年度部门决算情况说明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一、收入支出决算总体情况</w:t>
      </w:r>
      <w:r>
        <w:rPr>
          <w:rFonts w:hint="eastAsia" w:ascii="宋体" w:hAnsi="宋体"/>
          <w:bCs/>
          <w:color w:val="auto"/>
          <w:sz w:val="32"/>
          <w:szCs w:val="32"/>
        </w:rPr>
        <w:t>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二、收入决算情况说明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六、一般公共预算财政拨款基本支出决算情况说明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七、政府性基金财政拨款收入支出决算情况说明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Cs/>
          <w:sz w:val="32"/>
          <w:szCs w:val="32"/>
        </w:rPr>
      </w:pPr>
      <w:r>
        <w:rPr>
          <w:rFonts w:hint="eastAsia" w:ascii="宋体" w:hAnsi="宋体"/>
          <w:bCs/>
          <w:sz w:val="32"/>
          <w:szCs w:val="32"/>
        </w:rPr>
        <w:t>九、其他重要事项情况说明</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宋体" w:hAnsi="宋体"/>
          <w:b/>
          <w:sz w:val="32"/>
          <w:szCs w:val="32"/>
        </w:rPr>
      </w:pPr>
      <w:r>
        <w:rPr>
          <w:rFonts w:hint="eastAsia" w:ascii="宋体" w:hAnsi="宋体"/>
          <w:b/>
          <w:sz w:val="32"/>
          <w:szCs w:val="32"/>
        </w:rPr>
        <w:t>第四部分  名词解释</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default" w:ascii="宋体" w:hAnsi="宋体" w:eastAsia="仿宋_GB2312"/>
          <w:b/>
          <w:sz w:val="32"/>
          <w:szCs w:val="32"/>
          <w:lang w:val="en-US" w:eastAsia="zh-CN"/>
        </w:rPr>
      </w:pPr>
      <w:r>
        <w:rPr>
          <w:rFonts w:hint="eastAsia" w:ascii="宋体" w:hAnsi="宋体"/>
          <w:b/>
          <w:sz w:val="32"/>
          <w:szCs w:val="32"/>
          <w:lang w:val="en-US" w:eastAsia="zh-CN"/>
        </w:rPr>
        <w:t>第五部分   附件</w:t>
      </w:r>
    </w:p>
    <w:p>
      <w:pPr>
        <w:rPr>
          <w:rFonts w:hint="eastAsia" w:ascii="宋体" w:hAnsi="宋体"/>
          <w:b/>
          <w:sz w:val="36"/>
          <w:szCs w:val="36"/>
        </w:rPr>
      </w:pPr>
    </w:p>
    <w:p>
      <w:pPr>
        <w:jc w:val="center"/>
        <w:outlineLvl w:val="0"/>
        <w:rPr>
          <w:rFonts w:hint="eastAsia" w:ascii="宋体" w:hAnsi="宋体"/>
          <w:b/>
          <w:sz w:val="36"/>
          <w:szCs w:val="36"/>
        </w:rPr>
      </w:pPr>
      <w:r>
        <w:rPr>
          <w:rFonts w:hint="eastAsia" w:ascii="宋体" w:hAnsi="宋体"/>
          <w:b/>
          <w:sz w:val="36"/>
          <w:szCs w:val="36"/>
          <w:lang w:val="en-US" w:eastAsia="zh-CN"/>
        </w:rPr>
        <w:t>黄山市</w:t>
      </w:r>
      <w:r>
        <w:rPr>
          <w:rFonts w:hint="eastAsia" w:ascii="宋体" w:hAnsi="宋体"/>
          <w:b/>
          <w:sz w:val="32"/>
          <w:szCs w:val="32"/>
          <w:lang w:eastAsia="zh-CN"/>
        </w:rPr>
        <w:t>住房公积金管理中心</w:t>
      </w:r>
      <w:r>
        <w:rPr>
          <w:rFonts w:ascii="宋体" w:hAnsi="宋体"/>
          <w:b/>
          <w:sz w:val="36"/>
          <w:szCs w:val="36"/>
        </w:rPr>
        <w:t>2020年</w:t>
      </w:r>
      <w:r>
        <w:rPr>
          <w:rFonts w:hint="eastAsia" w:ascii="宋体" w:hAnsi="宋体"/>
          <w:b/>
          <w:color w:val="auto"/>
          <w:sz w:val="36"/>
          <w:szCs w:val="36"/>
        </w:rPr>
        <w:t>度</w:t>
      </w:r>
      <w:r>
        <w:rPr>
          <w:rFonts w:hint="eastAsia" w:ascii="宋体" w:hAnsi="宋体"/>
          <w:b/>
          <w:sz w:val="36"/>
          <w:szCs w:val="36"/>
        </w:rPr>
        <w:t>部门决算</w:t>
      </w:r>
      <w:r>
        <w:rPr>
          <w:rFonts w:ascii="宋体" w:hAnsi="宋体"/>
          <w:b/>
          <w:sz w:val="36"/>
          <w:szCs w:val="36"/>
        </w:rPr>
        <w:t>情况</w:t>
      </w:r>
    </w:p>
    <w:p>
      <w:pPr>
        <w:ind w:firstLine="640" w:firstLineChars="200"/>
        <w:rPr>
          <w:rFonts w:hint="eastAsia" w:ascii="黑体" w:hAnsi="黑体" w:eastAsia="黑体"/>
          <w:szCs w:val="32"/>
        </w:rPr>
      </w:pPr>
    </w:p>
    <w:p>
      <w:pPr>
        <w:ind w:firstLine="640" w:firstLineChars="200"/>
        <w:rPr>
          <w:rFonts w:hint="eastAsia" w:ascii="黑体" w:hAnsi="黑体" w:eastAsia="黑体"/>
          <w:szCs w:val="32"/>
        </w:rPr>
      </w:pPr>
    </w:p>
    <w:p>
      <w:pPr>
        <w:ind w:firstLine="640" w:firstLineChars="200"/>
        <w:outlineLvl w:val="1"/>
        <w:rPr>
          <w:rFonts w:hint="eastAsia" w:ascii="黑体" w:hAnsi="黑体" w:eastAsia="黑体"/>
          <w:szCs w:val="32"/>
        </w:rPr>
      </w:pPr>
      <w:r>
        <w:rPr>
          <w:rFonts w:hint="eastAsia" w:ascii="黑体" w:hAnsi="黑体" w:eastAsia="黑体"/>
          <w:szCs w:val="32"/>
        </w:rPr>
        <w:t xml:space="preserve">第一部分 </w:t>
      </w:r>
      <w:r>
        <w:rPr>
          <w:rFonts w:hint="eastAsia" w:ascii="黑体" w:hAnsi="黑体" w:eastAsia="黑体"/>
          <w:szCs w:val="32"/>
          <w:lang w:val="en-US" w:eastAsia="zh-CN"/>
        </w:rPr>
        <w:t>黄山市</w:t>
      </w:r>
      <w:r>
        <w:rPr>
          <w:rFonts w:hint="eastAsia" w:ascii="宋体" w:hAnsi="宋体"/>
          <w:b/>
          <w:sz w:val="32"/>
          <w:szCs w:val="32"/>
          <w:lang w:eastAsia="zh-CN"/>
        </w:rPr>
        <w:t>住房公积金管理中心</w:t>
      </w:r>
      <w:r>
        <w:rPr>
          <w:rFonts w:hint="eastAsia" w:ascii="黑体" w:hAnsi="黑体" w:eastAsia="黑体"/>
          <w:szCs w:val="32"/>
        </w:rPr>
        <w:t>概况</w:t>
      </w:r>
    </w:p>
    <w:p>
      <w:pPr>
        <w:ind w:firstLine="640" w:firstLineChars="200"/>
        <w:rPr>
          <w:rFonts w:hint="eastAsia" w:ascii="黑体" w:hAnsi="黑体" w:eastAsia="黑体"/>
          <w:szCs w:val="32"/>
        </w:rPr>
      </w:pPr>
      <w:r>
        <w:rPr>
          <w:rFonts w:hint="eastAsia" w:ascii="黑体" w:hAnsi="黑体" w:eastAsia="黑体"/>
          <w:szCs w:val="32"/>
        </w:rPr>
        <w:t>一、部门职责</w:t>
      </w:r>
    </w:p>
    <w:p>
      <w:pPr>
        <w:ind w:left="629" w:firstLine="640" w:firstLineChars="200"/>
        <w:rPr>
          <w:rFonts w:hint="eastAsia" w:ascii="黑体" w:hAnsi="黑体" w:eastAsia="黑体"/>
          <w:szCs w:val="32"/>
        </w:rPr>
      </w:pPr>
      <w:r>
        <w:rPr>
          <w:rFonts w:hint="eastAsia" w:ascii="仿宋_GB2312" w:hAnsi="仿宋"/>
          <w:szCs w:val="32"/>
        </w:rPr>
        <w:t>黄山市住房公积金管理中心是直属黄山市人民政府的不以营利为目的事业单位，根据“管委会决策、管理中心运作、银行专户存储、财政监督”的原则，主要负责全市住房公积金的归集、使用和管理工作及承办住房公积金管理委员会决定的其他事项。</w:t>
      </w:r>
    </w:p>
    <w:p>
      <w:pPr>
        <w:numPr>
          <w:ilvl w:val="0"/>
          <w:numId w:val="1"/>
        </w:numPr>
        <w:ind w:firstLine="640" w:firstLineChars="200"/>
        <w:rPr>
          <w:rFonts w:hint="eastAsia" w:ascii="黑体" w:hAnsi="黑体" w:eastAsia="黑体"/>
          <w:szCs w:val="32"/>
        </w:rPr>
      </w:pPr>
      <w:r>
        <w:rPr>
          <w:rFonts w:hint="eastAsia" w:ascii="黑体" w:hAnsi="黑体" w:eastAsia="黑体"/>
          <w:szCs w:val="32"/>
        </w:rPr>
        <w:t>机构设置</w:t>
      </w:r>
    </w:p>
    <w:p>
      <w:pPr>
        <w:ind w:firstLine="640" w:firstLineChars="200"/>
        <w:rPr>
          <w:rFonts w:hint="eastAsia" w:ascii="黑体" w:hAnsi="黑体" w:eastAsia="黑体"/>
          <w:color w:val="000000" w:themeColor="text1"/>
          <w:szCs w:val="32"/>
          <w14:textFill>
            <w14:solidFill>
              <w14:schemeClr w14:val="tx1"/>
            </w14:solidFill>
          </w14:textFill>
        </w:rPr>
      </w:pPr>
      <w:r>
        <w:rPr>
          <w:rFonts w:hint="eastAsia" w:ascii="仿宋_GB2312" w:hAnsi="仿宋"/>
          <w:szCs w:val="32"/>
        </w:rPr>
        <w:t>黄山市住房公积金管理中心内设6个科室，下设6个区县管理部</w:t>
      </w:r>
      <w:r>
        <w:rPr>
          <w:rFonts w:hint="eastAsia" w:ascii="仿宋_GB2312" w:hAnsi="仿宋"/>
          <w:color w:val="000000" w:themeColor="text1"/>
          <w:szCs w:val="32"/>
          <w14:textFill>
            <w14:solidFill>
              <w14:schemeClr w14:val="tx1"/>
            </w14:solidFill>
          </w14:textFill>
        </w:rPr>
        <w:t>。</w:t>
      </w:r>
      <w:r>
        <w:rPr>
          <w:rFonts w:ascii="仿宋" w:hAnsi="仿宋" w:eastAsia="仿宋" w:cs="仿宋"/>
          <w:i w:val="0"/>
          <w:caps w:val="0"/>
          <w:color w:val="000000" w:themeColor="text1"/>
          <w:spacing w:val="0"/>
          <w:sz w:val="32"/>
          <w:szCs w:val="32"/>
          <w:shd w:val="clear" w:fill="FFFFFF"/>
          <w14:textFill>
            <w14:solidFill>
              <w14:schemeClr w14:val="tx1"/>
            </w14:solidFill>
          </w14:textFill>
        </w:rPr>
        <w:t>20</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20</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年度纳入部门决算编制范围的单位共</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个，与预算比较一致</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。具体情况见下表：</w:t>
      </w:r>
    </w:p>
    <w:tbl>
      <w:tblPr>
        <w:tblStyle w:val="5"/>
        <w:tblW w:w="7226" w:type="dxa"/>
        <w:tblInd w:w="828" w:type="dxa"/>
        <w:shd w:val="clear" w:color="auto" w:fill="FFFFFF"/>
        <w:tblLayout w:type="fixed"/>
        <w:tblCellMar>
          <w:top w:w="0" w:type="dxa"/>
          <w:left w:w="0" w:type="dxa"/>
          <w:bottom w:w="0" w:type="dxa"/>
          <w:right w:w="0" w:type="dxa"/>
        </w:tblCellMar>
      </w:tblPr>
      <w:tblGrid>
        <w:gridCol w:w="1389"/>
        <w:gridCol w:w="5837"/>
      </w:tblGrid>
      <w:tr>
        <w:tblPrEx>
          <w:shd w:val="clear" w:color="auto" w:fill="FFFFFF"/>
          <w:tblLayout w:type="fixed"/>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sz w:val="24"/>
              </w:rPr>
            </w:pPr>
            <w:r>
              <w:rPr>
                <w:rFonts w:hint="eastAsia" w:ascii="宋体" w:hAnsi="宋体"/>
                <w:sz w:val="24"/>
              </w:rPr>
              <w:t>单位名称</w:t>
            </w:r>
          </w:p>
        </w:tc>
      </w:tr>
      <w:tr>
        <w:tblPrEx>
          <w:tblLayout w:type="fixed"/>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cs="宋体"/>
                <w:sz w:val="24"/>
              </w:rPr>
            </w:pPr>
            <w:r>
              <w:rPr>
                <w:rFonts w:hint="eastAsia" w:ascii="宋体" w:hAnsi="宋体"/>
                <w:sz w:val="24"/>
              </w:rPr>
              <w:t>1</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sz w:val="24"/>
              </w:rPr>
            </w:pPr>
            <w:r>
              <w:rPr>
                <w:rFonts w:hint="eastAsia" w:ascii="宋体" w:hAnsi="宋体"/>
                <w:sz w:val="24"/>
                <w:lang w:val="en-US" w:eastAsia="zh-CN"/>
              </w:rPr>
              <w:t>黄山市住房公积金管理中心</w:t>
            </w:r>
          </w:p>
        </w:tc>
      </w:tr>
      <w:tr>
        <w:tblPrEx>
          <w:tblLayout w:type="fixed"/>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cs="宋体"/>
                <w:sz w:val="24"/>
              </w:rPr>
            </w:pPr>
            <w:r>
              <w:rPr>
                <w:rFonts w:hint="eastAsia" w:ascii="宋体" w:hAnsi="宋体"/>
                <w:sz w:val="24"/>
              </w:rPr>
              <w:t>2</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sz w:val="24"/>
              </w:rPr>
            </w:pPr>
          </w:p>
        </w:tc>
      </w:tr>
    </w:tbl>
    <w:p>
      <w:pPr>
        <w:ind w:firstLine="640" w:firstLineChars="200"/>
        <w:rPr>
          <w:rFonts w:hint="eastAsia" w:ascii="仿宋_GB2312" w:hAnsi="黑体"/>
          <w:szCs w:val="32"/>
        </w:rPr>
      </w:pPr>
    </w:p>
    <w:p>
      <w:pPr>
        <w:ind w:firstLine="640" w:firstLineChars="200"/>
        <w:outlineLvl w:val="1"/>
        <w:rPr>
          <w:rFonts w:hint="eastAsia" w:ascii="黑体" w:hAnsi="黑体" w:eastAsia="黑体"/>
          <w:szCs w:val="32"/>
        </w:rPr>
      </w:pPr>
      <w:r>
        <w:rPr>
          <w:rFonts w:hint="eastAsia" w:ascii="黑体" w:hAnsi="黑体" w:eastAsia="黑体"/>
          <w:szCs w:val="32"/>
        </w:rPr>
        <w:t xml:space="preserve">第二部分 </w:t>
      </w:r>
      <w:r>
        <w:rPr>
          <w:rFonts w:hint="eastAsia" w:ascii="黑体" w:hAnsi="黑体" w:eastAsia="黑体"/>
          <w:szCs w:val="32"/>
          <w:lang w:val="en-US" w:eastAsia="zh-CN"/>
        </w:rPr>
        <w:t>黄山市</w:t>
      </w:r>
      <w:r>
        <w:rPr>
          <w:rFonts w:hint="eastAsia" w:ascii="仿宋_GB2312" w:hAnsi="仿宋" w:eastAsia="黑体"/>
          <w:szCs w:val="32"/>
          <w:lang w:eastAsia="zh-CN"/>
        </w:rPr>
        <w:t>住房公积金管理中心</w:t>
      </w:r>
      <w:r>
        <w:rPr>
          <w:rFonts w:hint="eastAsia" w:ascii="仿宋_GB2312" w:hAnsi="仿宋" w:eastAsia="黑体"/>
          <w:szCs w:val="32"/>
          <w:lang w:val="en-US" w:eastAsia="zh-CN"/>
        </w:rPr>
        <w:t>2</w:t>
      </w:r>
      <w:r>
        <w:rPr>
          <w:rFonts w:hint="eastAsia" w:ascii="黑体" w:hAnsi="黑体" w:eastAsia="黑体"/>
          <w:szCs w:val="32"/>
        </w:rPr>
        <w:t>020年</w:t>
      </w:r>
      <w:r>
        <w:rPr>
          <w:rFonts w:hint="eastAsia" w:ascii="黑体" w:hAnsi="黑体" w:eastAsia="黑体"/>
          <w:color w:val="auto"/>
          <w:szCs w:val="32"/>
        </w:rPr>
        <w:t>度</w:t>
      </w:r>
      <w:r>
        <w:rPr>
          <w:rFonts w:hint="eastAsia" w:ascii="黑体" w:hAnsi="黑体" w:eastAsia="黑体"/>
          <w:szCs w:val="32"/>
        </w:rPr>
        <w:t>部门决算表</w:t>
      </w:r>
    </w:p>
    <w:p>
      <w:pPr>
        <w:ind w:firstLine="640" w:firstLineChars="200"/>
        <w:jc w:val="center"/>
        <w:outlineLvl w:val="2"/>
        <w:rPr>
          <w:rFonts w:hint="eastAsia" w:ascii="黑体" w:hAnsi="黑体" w:eastAsia="黑体"/>
          <w:szCs w:val="32"/>
        </w:rPr>
      </w:pPr>
    </w:p>
    <w:p>
      <w:pPr>
        <w:ind w:firstLine="640" w:firstLineChars="200"/>
        <w:jc w:val="center"/>
        <w:outlineLvl w:val="2"/>
        <w:rPr>
          <w:rFonts w:hint="eastAsia" w:ascii="黑体" w:hAnsi="黑体" w:eastAsia="黑体"/>
          <w:szCs w:val="32"/>
        </w:rPr>
      </w:pPr>
    </w:p>
    <w:p>
      <w:pPr>
        <w:ind w:firstLine="640" w:firstLineChars="200"/>
        <w:jc w:val="center"/>
        <w:outlineLvl w:val="2"/>
        <w:rPr>
          <w:rFonts w:hint="eastAsia" w:ascii="黑体" w:hAnsi="黑体" w:eastAsia="黑体"/>
          <w:szCs w:val="32"/>
        </w:rPr>
      </w:pPr>
    </w:p>
    <w:p>
      <w:pPr>
        <w:ind w:firstLine="640" w:firstLineChars="200"/>
        <w:jc w:val="center"/>
        <w:outlineLvl w:val="2"/>
        <w:rPr>
          <w:rFonts w:hint="eastAsia" w:ascii="黑体" w:hAnsi="黑体" w:eastAsia="黑体"/>
          <w:szCs w:val="32"/>
        </w:rPr>
      </w:pPr>
      <w:r>
        <w:rPr>
          <w:rFonts w:hint="eastAsia" w:ascii="黑体" w:hAnsi="黑体" w:eastAsia="黑体"/>
          <w:szCs w:val="32"/>
        </w:rPr>
        <w:t>收入支出决算总表</w:t>
      </w:r>
    </w:p>
    <w:tbl>
      <w:tblPr>
        <w:tblStyle w:val="5"/>
        <w:tblpPr w:leftFromText="180" w:rightFromText="180" w:vertAnchor="text" w:tblpXSpec="left" w:tblpY="1"/>
        <w:tblOverlap w:val="never"/>
        <w:tblW w:w="8999" w:type="dxa"/>
        <w:tblInd w:w="0" w:type="dxa"/>
        <w:tblLayout w:type="fixed"/>
        <w:tblCellMar>
          <w:top w:w="15" w:type="dxa"/>
          <w:left w:w="108" w:type="dxa"/>
          <w:bottom w:w="15" w:type="dxa"/>
          <w:right w:w="108" w:type="dxa"/>
        </w:tblCellMar>
      </w:tblPr>
      <w:tblGrid>
        <w:gridCol w:w="2042"/>
        <w:gridCol w:w="1347"/>
        <w:gridCol w:w="1228"/>
        <w:gridCol w:w="2148"/>
        <w:gridCol w:w="1228"/>
        <w:gridCol w:w="1006"/>
      </w:tblGrid>
      <w:tr>
        <w:tblPrEx>
          <w:tblLayout w:type="fixed"/>
          <w:tblCellMar>
            <w:top w:w="15" w:type="dxa"/>
            <w:left w:w="108" w:type="dxa"/>
            <w:bottom w:w="15" w:type="dxa"/>
            <w:right w:w="108" w:type="dxa"/>
          </w:tblCellMar>
        </w:tblPrEx>
        <w:trPr>
          <w:trHeight w:val="267" w:hRule="atLeast"/>
        </w:trPr>
        <w:tc>
          <w:tcPr>
            <w:tcW w:w="2042" w:type="dxa"/>
            <w:vAlign w:val="bottom"/>
          </w:tcPr>
          <w:p>
            <w:pPr>
              <w:widowControl/>
              <w:jc w:val="left"/>
              <w:rPr>
                <w:rFonts w:ascii="Arial" w:hAnsi="Arial" w:eastAsia="宋体" w:cs="宋体"/>
                <w:color w:val="000000"/>
                <w:kern w:val="0"/>
                <w:sz w:val="20"/>
              </w:rPr>
            </w:pPr>
          </w:p>
        </w:tc>
        <w:tc>
          <w:tcPr>
            <w:tcW w:w="2575" w:type="dxa"/>
            <w:gridSpan w:val="2"/>
            <w:vAlign w:val="bottom"/>
          </w:tcPr>
          <w:p>
            <w:pPr>
              <w:widowControl/>
              <w:jc w:val="left"/>
              <w:rPr>
                <w:rFonts w:ascii="Arial" w:hAnsi="Arial" w:eastAsia="宋体" w:cs="宋体"/>
                <w:color w:val="000000"/>
                <w:kern w:val="0"/>
                <w:sz w:val="20"/>
              </w:rPr>
            </w:pPr>
          </w:p>
        </w:tc>
        <w:tc>
          <w:tcPr>
            <w:tcW w:w="2148" w:type="dxa"/>
            <w:vAlign w:val="bottom"/>
          </w:tcPr>
          <w:p>
            <w:pPr>
              <w:widowControl/>
              <w:jc w:val="left"/>
              <w:rPr>
                <w:rFonts w:ascii="Arial" w:hAnsi="Arial" w:eastAsia="宋体" w:cs="宋体"/>
                <w:color w:val="000000"/>
                <w:kern w:val="0"/>
                <w:sz w:val="20"/>
              </w:rPr>
            </w:pPr>
          </w:p>
        </w:tc>
        <w:tc>
          <w:tcPr>
            <w:tcW w:w="2234" w:type="dxa"/>
            <w:gridSpan w:val="2"/>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公开01表</w:t>
            </w:r>
          </w:p>
        </w:tc>
      </w:tr>
      <w:tr>
        <w:tblPrEx>
          <w:tblLayout w:type="fixed"/>
          <w:tblCellMar>
            <w:top w:w="15" w:type="dxa"/>
            <w:left w:w="108" w:type="dxa"/>
            <w:bottom w:w="15" w:type="dxa"/>
            <w:right w:w="108" w:type="dxa"/>
          </w:tblCellMar>
        </w:tblPrEx>
        <w:trPr>
          <w:trHeight w:val="248" w:hRule="atLeast"/>
        </w:trPr>
        <w:tc>
          <w:tcPr>
            <w:tcW w:w="4617" w:type="dxa"/>
            <w:gridSpan w:val="3"/>
            <w:tcBorders>
              <w:bottom w:val="single" w:color="auto" w:sz="4" w:space="0"/>
            </w:tcBorders>
            <w:vAlign w:val="bottom"/>
          </w:tcPr>
          <w:p>
            <w:pPr>
              <w:widowControl/>
              <w:jc w:val="left"/>
              <w:rPr>
                <w:rFonts w:ascii="Arial" w:hAnsi="Arial" w:eastAsia="宋体" w:cs="宋体"/>
                <w:color w:val="000000"/>
                <w:kern w:val="0"/>
                <w:sz w:val="20"/>
                <w:highlight w:val="none"/>
              </w:rPr>
            </w:pPr>
            <w:r>
              <w:rPr>
                <w:rFonts w:hint="eastAsia" w:ascii="宋体" w:hAnsi="宋体" w:eastAsia="宋体" w:cs="宋体"/>
                <w:kern w:val="0"/>
                <w:sz w:val="20"/>
                <w:highlight w:val="none"/>
              </w:rPr>
              <w:t>部门：</w:t>
            </w:r>
            <w:r>
              <w:rPr>
                <w:rFonts w:hint="eastAsia" w:ascii="宋体" w:hAnsi="宋体" w:eastAsia="宋体" w:cs="宋体"/>
                <w:kern w:val="0"/>
                <w:sz w:val="20"/>
                <w:highlight w:val="none"/>
                <w:lang w:eastAsia="zh-CN"/>
              </w:rPr>
              <w:t>黄山市住房公积金管理中心</w:t>
            </w:r>
          </w:p>
        </w:tc>
        <w:tc>
          <w:tcPr>
            <w:tcW w:w="2148" w:type="dxa"/>
            <w:tcBorders>
              <w:bottom w:val="single" w:color="auto" w:sz="4" w:space="0"/>
            </w:tcBorders>
            <w:vAlign w:val="bottom"/>
          </w:tcPr>
          <w:p>
            <w:pPr>
              <w:widowControl/>
              <w:jc w:val="center"/>
              <w:rPr>
                <w:rFonts w:ascii="宋体" w:hAnsi="宋体" w:eastAsia="宋体" w:cs="宋体"/>
                <w:color w:val="000000"/>
                <w:kern w:val="0"/>
                <w:sz w:val="24"/>
                <w:szCs w:val="24"/>
              </w:rPr>
            </w:pPr>
          </w:p>
        </w:tc>
        <w:tc>
          <w:tcPr>
            <w:tcW w:w="2234" w:type="dxa"/>
            <w:gridSpan w:val="2"/>
            <w:tcBorders>
              <w:bottom w:val="single" w:color="auto" w:sz="4" w:space="0"/>
            </w:tcBorders>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Layout w:type="fixed"/>
          <w:tblCellMar>
            <w:top w:w="15" w:type="dxa"/>
            <w:left w:w="108" w:type="dxa"/>
            <w:bottom w:w="15" w:type="dxa"/>
            <w:right w:w="108" w:type="dxa"/>
          </w:tblCellMar>
        </w:tblPrEx>
        <w:trPr>
          <w:trHeight w:val="270" w:hRule="atLeast"/>
        </w:trPr>
        <w:tc>
          <w:tcPr>
            <w:tcW w:w="461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438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支出</w:t>
            </w: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 目</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决算数</w:t>
            </w: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eastAsia="zh-CN"/>
              </w:rPr>
              <w:t>决算数</w:t>
            </w: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ind w:firstLine="660" w:firstLineChars="3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 次</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6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szCs w:val="22"/>
              </w:rPr>
            </w:pPr>
            <w:r>
              <w:rPr>
                <w:rFonts w:hint="eastAsia" w:ascii="宋体" w:hAnsi="宋体" w:eastAsia="宋体" w:cs="Arial"/>
                <w:color w:val="000000"/>
                <w:sz w:val="22"/>
                <w:szCs w:val="22"/>
              </w:rPr>
              <w:t>一、一般公共预算财政拨款收入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1972.87</w:t>
            </w: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901.17</w:t>
            </w:r>
          </w:p>
        </w:tc>
      </w:tr>
      <w:tr>
        <w:tblPrEx>
          <w:tblLayout w:type="fixed"/>
          <w:tblCellMar>
            <w:top w:w="15" w:type="dxa"/>
            <w:left w:w="108" w:type="dxa"/>
            <w:bottom w:w="15" w:type="dxa"/>
            <w:right w:w="108" w:type="dxa"/>
          </w:tblCellMar>
        </w:tblPrEx>
        <w:trPr>
          <w:trHeight w:val="26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szCs w:val="22"/>
              </w:rPr>
            </w:pPr>
            <w:r>
              <w:rPr>
                <w:rFonts w:hint="eastAsia" w:ascii="宋体" w:hAnsi="宋体" w:eastAsia="宋体" w:cs="Arial"/>
                <w:color w:val="000000"/>
                <w:sz w:val="22"/>
                <w:szCs w:val="22"/>
              </w:rPr>
              <w:t>二、政府性基金预算财政拨款收入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6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szCs w:val="22"/>
              </w:rPr>
            </w:pPr>
            <w:r>
              <w:rPr>
                <w:rFonts w:hint="eastAsia" w:ascii="宋体" w:hAnsi="宋体" w:eastAsia="宋体" w:cs="Arial"/>
                <w:color w:val="000000"/>
                <w:sz w:val="20"/>
                <w:szCs w:val="20"/>
              </w:rPr>
              <w:t>三、</w:t>
            </w:r>
            <w:r>
              <w:rPr>
                <w:rFonts w:hint="eastAsia" w:ascii="宋体" w:hAnsi="宋体" w:eastAsia="宋体" w:cs="Arial"/>
                <w:color w:val="000000"/>
                <w:sz w:val="20"/>
                <w:szCs w:val="20"/>
                <w:lang w:eastAsia="zh-CN"/>
              </w:rPr>
              <w:t>国有资本经营预算财政拨款收入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6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szCs w:val="22"/>
              </w:rPr>
            </w:pPr>
            <w:r>
              <w:rPr>
                <w:rFonts w:hint="eastAsia" w:ascii="宋体" w:hAnsi="宋体" w:eastAsia="宋体" w:cs="Arial"/>
                <w:color w:val="000000"/>
                <w:sz w:val="22"/>
                <w:szCs w:val="22"/>
                <w:lang w:eastAsia="zh-CN"/>
              </w:rPr>
              <w:t>四</w:t>
            </w:r>
            <w:r>
              <w:rPr>
                <w:rFonts w:hint="eastAsia" w:ascii="宋体" w:hAnsi="宋体" w:eastAsia="宋体" w:cs="Arial"/>
                <w:color w:val="000000"/>
                <w:sz w:val="22"/>
                <w:szCs w:val="22"/>
              </w:rPr>
              <w:t>、上级补助收入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36"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szCs w:val="22"/>
              </w:rPr>
            </w:pPr>
            <w:r>
              <w:rPr>
                <w:rFonts w:hint="eastAsia" w:ascii="宋体" w:hAnsi="宋体" w:eastAsia="宋体" w:cs="Arial"/>
                <w:color w:val="000000"/>
                <w:sz w:val="22"/>
                <w:szCs w:val="22"/>
                <w:lang w:eastAsia="zh-CN"/>
              </w:rPr>
              <w:t>五</w:t>
            </w:r>
            <w:r>
              <w:rPr>
                <w:rFonts w:hint="eastAsia" w:ascii="宋体" w:hAnsi="宋体" w:eastAsia="宋体" w:cs="Arial"/>
                <w:color w:val="000000"/>
                <w:sz w:val="22"/>
                <w:szCs w:val="22"/>
              </w:rPr>
              <w:t>、事业收入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56"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szCs w:val="22"/>
              </w:rPr>
            </w:pPr>
            <w:r>
              <w:rPr>
                <w:rFonts w:hint="eastAsia" w:ascii="宋体" w:hAnsi="宋体" w:eastAsia="宋体" w:cs="Arial"/>
                <w:color w:val="000000"/>
                <w:sz w:val="22"/>
                <w:szCs w:val="22"/>
                <w:lang w:eastAsia="zh-CN"/>
              </w:rPr>
              <w:t>六</w:t>
            </w:r>
            <w:r>
              <w:rPr>
                <w:rFonts w:hint="eastAsia" w:ascii="宋体" w:hAnsi="宋体" w:eastAsia="宋体" w:cs="Arial"/>
                <w:color w:val="000000"/>
                <w:sz w:val="22"/>
                <w:szCs w:val="22"/>
              </w:rPr>
              <w:t>、经营收入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48"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Arial"/>
                <w:color w:val="000000"/>
                <w:sz w:val="22"/>
                <w:szCs w:val="22"/>
              </w:rPr>
            </w:pPr>
            <w:r>
              <w:rPr>
                <w:rFonts w:hint="eastAsia" w:ascii="宋体" w:hAnsi="宋体" w:eastAsia="宋体" w:cs="Arial"/>
                <w:color w:val="000000"/>
                <w:sz w:val="22"/>
                <w:szCs w:val="22"/>
                <w:lang w:eastAsia="zh-CN"/>
              </w:rPr>
              <w:t>七</w:t>
            </w:r>
            <w:r>
              <w:rPr>
                <w:rFonts w:hint="eastAsia" w:ascii="宋体" w:hAnsi="宋体" w:eastAsia="宋体" w:cs="Arial"/>
                <w:color w:val="000000"/>
                <w:sz w:val="22"/>
                <w:szCs w:val="22"/>
              </w:rPr>
              <w:t>、附属单位上缴收入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84"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kern w:val="0"/>
                <w:sz w:val="22"/>
                <w:szCs w:val="22"/>
              </w:rPr>
            </w:pPr>
            <w:r>
              <w:rPr>
                <w:rFonts w:hint="eastAsia" w:ascii="宋体" w:hAnsi="宋体" w:eastAsia="宋体" w:cs="Arial"/>
                <w:color w:val="000000"/>
                <w:sz w:val="22"/>
                <w:szCs w:val="22"/>
                <w:lang w:eastAsia="zh-CN"/>
              </w:rPr>
              <w:t>八</w:t>
            </w:r>
            <w:r>
              <w:rPr>
                <w:rFonts w:hint="eastAsia" w:ascii="宋体" w:hAnsi="宋体" w:eastAsia="宋体" w:cs="Arial"/>
                <w:color w:val="000000"/>
                <w:sz w:val="22"/>
                <w:szCs w:val="22"/>
              </w:rPr>
              <w:t>、其他收入</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35.42</w:t>
            </w: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十四、资源勘探信息等支出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596.46</w:t>
            </w: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6"/>
                <w:szCs w:val="16"/>
                <w:lang w:eastAsia="zh-CN"/>
              </w:rPr>
              <w:t>二十一、国有资本经营预算支出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0"/>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5"/>
                <w:szCs w:val="15"/>
              </w:rPr>
              <w:t>二十</w:t>
            </w:r>
            <w:r>
              <w:rPr>
                <w:rFonts w:hint="eastAsia" w:ascii="宋体" w:hAnsi="宋体" w:eastAsia="宋体" w:cs="宋体"/>
                <w:color w:val="000000"/>
                <w:kern w:val="0"/>
                <w:sz w:val="15"/>
                <w:szCs w:val="15"/>
                <w:lang w:eastAsia="zh-CN"/>
              </w:rPr>
              <w:t>二</w:t>
            </w:r>
            <w:r>
              <w:rPr>
                <w:rFonts w:hint="eastAsia" w:ascii="宋体" w:hAnsi="宋体" w:eastAsia="宋体" w:cs="宋体"/>
                <w:color w:val="000000"/>
                <w:kern w:val="0"/>
                <w:sz w:val="15"/>
                <w:szCs w:val="15"/>
              </w:rPr>
              <w:t>、灾害防治及应急管理支出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三</w:t>
            </w:r>
            <w:r>
              <w:rPr>
                <w:rFonts w:hint="eastAsia" w:ascii="宋体" w:hAnsi="宋体" w:eastAsia="宋体" w:cs="宋体"/>
                <w:color w:val="000000"/>
                <w:kern w:val="0"/>
                <w:sz w:val="22"/>
                <w:szCs w:val="22"/>
              </w:rPr>
              <w:t>、其他支出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Cs/>
                <w:color w:val="000000"/>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四</w:t>
            </w:r>
            <w:r>
              <w:rPr>
                <w:rFonts w:hint="eastAsia" w:ascii="宋体" w:hAnsi="宋体" w:eastAsia="宋体" w:cs="宋体"/>
                <w:color w:val="000000"/>
                <w:kern w:val="0"/>
                <w:sz w:val="22"/>
                <w:szCs w:val="22"/>
              </w:rPr>
              <w:t>、债务还本支出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五</w:t>
            </w:r>
            <w:r>
              <w:rPr>
                <w:rFonts w:hint="eastAsia" w:ascii="宋体" w:hAnsi="宋体" w:eastAsia="宋体" w:cs="宋体"/>
                <w:color w:val="000000"/>
                <w:kern w:val="0"/>
                <w:sz w:val="22"/>
                <w:szCs w:val="22"/>
              </w:rPr>
              <w:t>、债务付息支出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szCs w:val="22"/>
              </w:rPr>
            </w:pPr>
            <w:r>
              <w:rPr>
                <w:rFonts w:hint="eastAsia" w:ascii="宋体" w:hAnsi="宋体" w:eastAsia="宋体" w:cs="宋体"/>
                <w:color w:val="000000"/>
                <w:kern w:val="0"/>
                <w:sz w:val="22"/>
                <w:szCs w:val="22"/>
                <w:lang w:eastAsia="zh-CN"/>
              </w:rPr>
              <w:t>二十六、抗疫特别国债安排的支出</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1972.87</w:t>
            </w: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1533.05</w:t>
            </w: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使用非财政拨款结余</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auto"/>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结余分配</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年初结转和结余</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818.92</w:t>
            </w: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 w:val="22"/>
                <w:szCs w:val="22"/>
              </w:rPr>
            </w:pPr>
            <w:r>
              <w:rPr>
                <w:rFonts w:hint="eastAsia" w:ascii="宋体" w:hAnsi="宋体" w:eastAsia="宋体" w:cs="宋体"/>
                <w:color w:val="auto"/>
                <w:kern w:val="0"/>
                <w:sz w:val="22"/>
                <w:szCs w:val="22"/>
              </w:rPr>
              <w:t>年末结转和结余</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1258.74</w:t>
            </w:r>
          </w:p>
        </w:tc>
      </w:tr>
      <w:tr>
        <w:tblPrEx>
          <w:tblLayout w:type="fixed"/>
          <w:tblCellMar>
            <w:top w:w="15" w:type="dxa"/>
            <w:left w:w="108" w:type="dxa"/>
            <w:bottom w:w="15" w:type="dxa"/>
            <w:right w:w="108" w:type="dxa"/>
          </w:tblCellMar>
        </w:tblPrEx>
        <w:trPr>
          <w:trHeight w:val="162"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90" w:hRule="atLeast"/>
        </w:trPr>
        <w:tc>
          <w:tcPr>
            <w:tcW w:w="33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122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2791.79</w:t>
            </w:r>
          </w:p>
        </w:tc>
        <w:tc>
          <w:tcPr>
            <w:tcW w:w="33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100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2791.79</w:t>
            </w:r>
          </w:p>
        </w:tc>
      </w:tr>
    </w:tbl>
    <w:p>
      <w:pPr>
        <w:ind w:firstLine="640" w:firstLineChars="200"/>
        <w:jc w:val="center"/>
        <w:rPr>
          <w:rFonts w:hint="eastAsia" w:ascii="黑体" w:hAnsi="黑体" w:eastAsia="黑体"/>
          <w:szCs w:val="32"/>
        </w:rPr>
      </w:pPr>
    </w:p>
    <w:p>
      <w:pPr>
        <w:ind w:firstLine="640" w:firstLineChars="200"/>
        <w:jc w:val="center"/>
        <w:outlineLvl w:val="2"/>
        <w:rPr>
          <w:rFonts w:hint="eastAsia" w:ascii="黑体" w:hAnsi="黑体" w:eastAsia="黑体"/>
          <w:szCs w:val="32"/>
        </w:rPr>
      </w:pPr>
      <w:r>
        <w:rPr>
          <w:rFonts w:hint="eastAsia" w:ascii="黑体" w:hAnsi="黑体" w:eastAsia="黑体"/>
          <w:szCs w:val="32"/>
        </w:rPr>
        <w:t>收入决算表</w:t>
      </w:r>
    </w:p>
    <w:p>
      <w:pPr>
        <w:ind w:firstLine="640" w:firstLineChars="200"/>
        <w:rPr>
          <w:rFonts w:hint="eastAsia" w:ascii="宋体" w:hAnsi="宋体" w:eastAsia="宋体"/>
          <w:color w:val="FF0000"/>
          <w:sz w:val="20"/>
        </w:rPr>
      </w:pPr>
      <w:r>
        <w:rPr>
          <w:rFonts w:hint="eastAsia" w:ascii="黑体" w:hAnsi="黑体" w:eastAsia="黑体"/>
          <w:szCs w:val="32"/>
        </w:rPr>
        <w:t xml:space="preserve">                                             </w:t>
      </w:r>
    </w:p>
    <w:tbl>
      <w:tblPr>
        <w:tblStyle w:val="5"/>
        <w:tblW w:w="9003" w:type="dxa"/>
        <w:tblInd w:w="0" w:type="dxa"/>
        <w:tblLayout w:type="fixed"/>
        <w:tblCellMar>
          <w:top w:w="15" w:type="dxa"/>
          <w:left w:w="108" w:type="dxa"/>
          <w:bottom w:w="15" w:type="dxa"/>
          <w:right w:w="108" w:type="dxa"/>
        </w:tblCellMar>
      </w:tblPr>
      <w:tblGrid>
        <w:gridCol w:w="339"/>
        <w:gridCol w:w="405"/>
        <w:gridCol w:w="360"/>
        <w:gridCol w:w="1212"/>
        <w:gridCol w:w="1068"/>
        <w:gridCol w:w="1005"/>
        <w:gridCol w:w="711"/>
        <w:gridCol w:w="530"/>
        <w:gridCol w:w="944"/>
        <w:gridCol w:w="265"/>
        <w:gridCol w:w="265"/>
        <w:gridCol w:w="1316"/>
        <w:gridCol w:w="583"/>
      </w:tblGrid>
      <w:tr>
        <w:tblPrEx>
          <w:tblLayout w:type="fixed"/>
          <w:tblCellMar>
            <w:top w:w="15" w:type="dxa"/>
            <w:left w:w="108" w:type="dxa"/>
            <w:bottom w:w="15" w:type="dxa"/>
            <w:right w:w="108" w:type="dxa"/>
          </w:tblCellMar>
        </w:tblPrEx>
        <w:trPr>
          <w:trHeight w:val="300" w:hRule="atLeast"/>
        </w:trPr>
        <w:tc>
          <w:tcPr>
            <w:tcW w:w="2316" w:type="dxa"/>
            <w:gridSpan w:val="4"/>
            <w:vAlign w:val="bottom"/>
          </w:tcPr>
          <w:p>
            <w:pPr>
              <w:widowControl/>
              <w:jc w:val="left"/>
              <w:rPr>
                <w:rFonts w:hint="eastAsia" w:ascii="宋体" w:hAnsi="宋体" w:eastAsia="宋体" w:cs="宋体"/>
                <w:kern w:val="0"/>
                <w:sz w:val="20"/>
              </w:rPr>
            </w:pPr>
          </w:p>
        </w:tc>
        <w:tc>
          <w:tcPr>
            <w:tcW w:w="1068" w:type="dxa"/>
            <w:vAlign w:val="bottom"/>
          </w:tcPr>
          <w:p>
            <w:pPr>
              <w:widowControl/>
              <w:jc w:val="left"/>
              <w:rPr>
                <w:rFonts w:ascii="Arial" w:hAnsi="Arial" w:eastAsia="宋体" w:cs="宋体"/>
                <w:color w:val="000000"/>
                <w:kern w:val="0"/>
                <w:sz w:val="20"/>
              </w:rPr>
            </w:pPr>
          </w:p>
        </w:tc>
        <w:tc>
          <w:tcPr>
            <w:tcW w:w="1005" w:type="dxa"/>
            <w:vAlign w:val="bottom"/>
          </w:tcPr>
          <w:p>
            <w:pPr>
              <w:widowControl/>
              <w:jc w:val="left"/>
              <w:rPr>
                <w:rFonts w:ascii="Arial" w:hAnsi="Arial" w:eastAsia="宋体" w:cs="宋体"/>
                <w:color w:val="000000"/>
                <w:kern w:val="0"/>
                <w:sz w:val="20"/>
              </w:rPr>
            </w:pPr>
          </w:p>
        </w:tc>
        <w:tc>
          <w:tcPr>
            <w:tcW w:w="711" w:type="dxa"/>
            <w:vAlign w:val="bottom"/>
          </w:tcPr>
          <w:p>
            <w:pPr>
              <w:widowControl/>
              <w:jc w:val="center"/>
              <w:rPr>
                <w:rFonts w:ascii="宋体" w:hAnsi="宋体" w:eastAsia="宋体" w:cs="宋体"/>
                <w:color w:val="000000"/>
                <w:kern w:val="0"/>
                <w:sz w:val="20"/>
              </w:rPr>
            </w:pPr>
          </w:p>
        </w:tc>
        <w:tc>
          <w:tcPr>
            <w:tcW w:w="530" w:type="dxa"/>
            <w:vAlign w:val="bottom"/>
          </w:tcPr>
          <w:p>
            <w:pPr>
              <w:widowControl/>
              <w:jc w:val="left"/>
              <w:rPr>
                <w:rFonts w:ascii="Arial" w:hAnsi="Arial" w:eastAsia="宋体" w:cs="宋体"/>
                <w:color w:val="000000"/>
                <w:kern w:val="0"/>
                <w:sz w:val="20"/>
              </w:rPr>
            </w:pPr>
          </w:p>
        </w:tc>
        <w:tc>
          <w:tcPr>
            <w:tcW w:w="1209" w:type="dxa"/>
            <w:gridSpan w:val="2"/>
            <w:vAlign w:val="bottom"/>
          </w:tcPr>
          <w:p>
            <w:pPr>
              <w:widowControl/>
              <w:wordWrap w:val="0"/>
              <w:jc w:val="right"/>
              <w:rPr>
                <w:rFonts w:hint="eastAsia" w:ascii="宋体" w:hAnsi="宋体" w:eastAsia="宋体" w:cs="宋体"/>
                <w:kern w:val="0"/>
                <w:sz w:val="20"/>
              </w:rPr>
            </w:pPr>
            <w:r>
              <w:rPr>
                <w:rFonts w:hint="eastAsia" w:ascii="宋体" w:hAnsi="宋体" w:eastAsia="宋体" w:cs="宋体"/>
                <w:kern w:val="0"/>
                <w:sz w:val="20"/>
              </w:rPr>
              <w:t xml:space="preserve"> </w:t>
            </w:r>
          </w:p>
        </w:tc>
        <w:tc>
          <w:tcPr>
            <w:tcW w:w="2164" w:type="dxa"/>
            <w:gridSpan w:val="3"/>
            <w:vAlign w:val="top"/>
          </w:tcPr>
          <w:p>
            <w:pPr>
              <w:widowControl/>
              <w:tabs>
                <w:tab w:val="right" w:pos="3130"/>
              </w:tabs>
              <w:ind w:right="97" w:firstLine="500" w:firstLineChars="250"/>
              <w:rPr>
                <w:rFonts w:hint="eastAsia" w:ascii="宋体" w:hAnsi="宋体" w:eastAsia="宋体" w:cs="宋体"/>
                <w:kern w:val="0"/>
                <w:sz w:val="20"/>
              </w:rPr>
            </w:pPr>
            <w:r>
              <w:rPr>
                <w:rFonts w:hint="eastAsia" w:ascii="宋体" w:hAnsi="宋体" w:eastAsia="宋体" w:cs="宋体"/>
                <w:kern w:val="0"/>
                <w:sz w:val="20"/>
              </w:rPr>
              <w:t>公开02表</w:t>
            </w:r>
          </w:p>
        </w:tc>
      </w:tr>
      <w:tr>
        <w:tblPrEx>
          <w:tblLayout w:type="fixed"/>
          <w:tblCellMar>
            <w:top w:w="15" w:type="dxa"/>
            <w:left w:w="108" w:type="dxa"/>
            <w:bottom w:w="15" w:type="dxa"/>
            <w:right w:w="108" w:type="dxa"/>
          </w:tblCellMar>
        </w:tblPrEx>
        <w:trPr>
          <w:trHeight w:val="300" w:hRule="atLeast"/>
        </w:trPr>
        <w:tc>
          <w:tcPr>
            <w:tcW w:w="3384" w:type="dxa"/>
            <w:gridSpan w:val="5"/>
            <w:vAlign w:val="bottom"/>
          </w:tcPr>
          <w:p>
            <w:pPr>
              <w:widowControl/>
              <w:jc w:val="left"/>
              <w:rPr>
                <w:rFonts w:ascii="Arial" w:hAnsi="Arial" w:eastAsia="宋体" w:cs="宋体"/>
                <w:color w:val="000000"/>
                <w:kern w:val="0"/>
                <w:sz w:val="20"/>
              </w:rPr>
            </w:pPr>
            <w:r>
              <w:rPr>
                <w:rFonts w:hint="eastAsia" w:ascii="宋体" w:hAnsi="宋体" w:eastAsia="宋体" w:cs="宋体"/>
                <w:kern w:val="0"/>
                <w:sz w:val="20"/>
              </w:rPr>
              <w:t>部门：</w:t>
            </w:r>
            <w:r>
              <w:rPr>
                <w:rFonts w:hint="eastAsia" w:ascii="宋体" w:hAnsi="宋体" w:eastAsia="宋体" w:cs="宋体"/>
                <w:kern w:val="0"/>
                <w:sz w:val="20"/>
                <w:lang w:eastAsia="zh-CN"/>
              </w:rPr>
              <w:t>黄山市住房公积金管理中心</w:t>
            </w:r>
          </w:p>
        </w:tc>
        <w:tc>
          <w:tcPr>
            <w:tcW w:w="1005" w:type="dxa"/>
            <w:vAlign w:val="bottom"/>
          </w:tcPr>
          <w:p>
            <w:pPr>
              <w:widowControl/>
              <w:jc w:val="left"/>
              <w:rPr>
                <w:rFonts w:ascii="Arial" w:hAnsi="Arial" w:eastAsia="宋体" w:cs="宋体"/>
                <w:color w:val="000000"/>
                <w:kern w:val="0"/>
                <w:sz w:val="20"/>
              </w:rPr>
            </w:pPr>
          </w:p>
        </w:tc>
        <w:tc>
          <w:tcPr>
            <w:tcW w:w="711" w:type="dxa"/>
            <w:vAlign w:val="bottom"/>
          </w:tcPr>
          <w:p>
            <w:pPr>
              <w:widowControl/>
              <w:jc w:val="center"/>
              <w:rPr>
                <w:rFonts w:ascii="宋体" w:hAnsi="宋体" w:eastAsia="宋体" w:cs="宋体"/>
                <w:color w:val="000000"/>
                <w:kern w:val="0"/>
                <w:sz w:val="20"/>
              </w:rPr>
            </w:pPr>
          </w:p>
        </w:tc>
        <w:tc>
          <w:tcPr>
            <w:tcW w:w="530" w:type="dxa"/>
            <w:vAlign w:val="bottom"/>
          </w:tcPr>
          <w:p>
            <w:pPr>
              <w:widowControl/>
              <w:jc w:val="left"/>
              <w:rPr>
                <w:rFonts w:ascii="Arial" w:hAnsi="Arial" w:eastAsia="宋体" w:cs="宋体"/>
                <w:color w:val="000000"/>
                <w:kern w:val="0"/>
                <w:sz w:val="20"/>
              </w:rPr>
            </w:pPr>
          </w:p>
        </w:tc>
        <w:tc>
          <w:tcPr>
            <w:tcW w:w="1209" w:type="dxa"/>
            <w:gridSpan w:val="2"/>
            <w:vAlign w:val="bottom"/>
          </w:tcPr>
          <w:p>
            <w:pPr>
              <w:widowControl/>
              <w:ind w:right="60"/>
              <w:jc w:val="right"/>
              <w:rPr>
                <w:rFonts w:ascii="宋体" w:hAnsi="宋体" w:eastAsia="宋体" w:cs="宋体"/>
                <w:color w:val="000000"/>
                <w:kern w:val="0"/>
                <w:sz w:val="20"/>
              </w:rPr>
            </w:pPr>
          </w:p>
        </w:tc>
        <w:tc>
          <w:tcPr>
            <w:tcW w:w="2164" w:type="dxa"/>
            <w:gridSpan w:val="3"/>
            <w:vAlign w:val="top"/>
          </w:tcPr>
          <w:p>
            <w:pPr>
              <w:widowControl/>
              <w:ind w:right="448"/>
              <w:rPr>
                <w:rFonts w:hint="eastAsia"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Layout w:type="fixed"/>
          <w:tblCellMar>
            <w:top w:w="15" w:type="dxa"/>
            <w:left w:w="108" w:type="dxa"/>
            <w:bottom w:w="15" w:type="dxa"/>
            <w:right w:w="108" w:type="dxa"/>
          </w:tblCellMar>
        </w:tblPrEx>
        <w:trPr>
          <w:trHeight w:val="450" w:hRule="atLeast"/>
        </w:trPr>
        <w:tc>
          <w:tcPr>
            <w:tcW w:w="231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本年收入合计</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财政拨款收入</w:t>
            </w:r>
          </w:p>
        </w:tc>
        <w:tc>
          <w:tcPr>
            <w:tcW w:w="7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上级补助收入</w:t>
            </w:r>
          </w:p>
        </w:tc>
        <w:tc>
          <w:tcPr>
            <w:tcW w:w="147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事业收入</w:t>
            </w:r>
          </w:p>
        </w:tc>
        <w:tc>
          <w:tcPr>
            <w:tcW w:w="530" w:type="dxa"/>
            <w:gridSpan w:val="2"/>
            <w:vMerge w:val="restart"/>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color w:val="000000"/>
                <w:kern w:val="0"/>
                <w:sz w:val="22"/>
                <w:szCs w:val="22"/>
              </w:rPr>
            </w:pPr>
          </w:p>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经营</w:t>
            </w:r>
          </w:p>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13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附属单位上缴收入</w:t>
            </w:r>
          </w:p>
        </w:tc>
        <w:tc>
          <w:tcPr>
            <w:tcW w:w="5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r>
      <w:tr>
        <w:tblPrEx>
          <w:tblLayout w:type="fixed"/>
          <w:tblCellMar>
            <w:top w:w="15" w:type="dxa"/>
            <w:left w:w="108" w:type="dxa"/>
            <w:bottom w:w="15" w:type="dxa"/>
            <w:right w:w="108" w:type="dxa"/>
          </w:tblCellMar>
        </w:tblPrEx>
        <w:trPr>
          <w:trHeight w:val="355" w:hRule="atLeast"/>
        </w:trPr>
        <w:tc>
          <w:tcPr>
            <w:tcW w:w="110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auto"/>
                <w:kern w:val="0"/>
                <w:sz w:val="22"/>
                <w:szCs w:val="22"/>
                <w:lang w:eastAsia="zh-CN"/>
              </w:rPr>
              <w:t>功能分类</w:t>
            </w:r>
            <w:r>
              <w:rPr>
                <w:rFonts w:hint="eastAsia" w:ascii="宋体" w:hAnsi="宋体" w:eastAsia="宋体" w:cs="宋体"/>
                <w:color w:val="000000"/>
                <w:kern w:val="0"/>
                <w:sz w:val="22"/>
                <w:szCs w:val="22"/>
              </w:rPr>
              <w:t>科目编码</w:t>
            </w:r>
          </w:p>
        </w:tc>
        <w:tc>
          <w:tcPr>
            <w:tcW w:w="12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47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5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11"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小计</w:t>
            </w:r>
          </w:p>
        </w:tc>
        <w:tc>
          <w:tcPr>
            <w:tcW w:w="944"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其中：教育</w:t>
            </w:r>
          </w:p>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收费</w:t>
            </w:r>
          </w:p>
        </w:tc>
        <w:tc>
          <w:tcPr>
            <w:tcW w:w="53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vMerge w:val="continue"/>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33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4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3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1972.87</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1972.87</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201</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1093.12</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1093.12</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20199</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其他一般公共服务支出</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1093.12</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1093.12</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2019999</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其他一般公共服务支出</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1093.12</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1093.12</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210</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卫生健康支出</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51.69</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51.69</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51.69</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51.69</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2101102</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事业单位医疗</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51.69</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51.69</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221</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828.06</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828.06</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22102</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87.77</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87.77</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2210201</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87.77</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87.77</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22103</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城乡社区住宅</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740.29</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740.29</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10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2210302</w:t>
            </w:r>
          </w:p>
        </w:tc>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住房公积金管理</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740.29</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740.29</w:t>
            </w:r>
          </w:p>
        </w:tc>
        <w:tc>
          <w:tcPr>
            <w:tcW w:w="7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44" w:type="dxa"/>
            <w:tcBorders>
              <w:top w:val="single" w:color="auto" w:sz="4" w:space="0"/>
              <w:left w:val="single" w:color="auto" w:sz="4" w:space="0"/>
              <w:bottom w:val="single" w:color="auto" w:sz="4" w:space="0"/>
              <w:right w:val="single" w:color="auto" w:sz="4" w:space="0"/>
            </w:tcBorders>
            <w:vAlign w:val="top"/>
          </w:tcPr>
          <w:p>
            <w:pPr>
              <w:widowControl/>
              <w:jc w:val="right"/>
              <w:rPr>
                <w:rFonts w:ascii="宋体" w:hAnsi="宋体" w:eastAsia="宋体" w:cs="宋体"/>
                <w:color w:val="000000"/>
                <w:kern w:val="0"/>
                <w:sz w:val="22"/>
                <w:szCs w:val="22"/>
              </w:rPr>
            </w:pPr>
          </w:p>
        </w:tc>
        <w:tc>
          <w:tcPr>
            <w:tcW w:w="53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31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5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bl>
    <w:p>
      <w:pPr>
        <w:ind w:firstLine="640" w:firstLineChars="200"/>
        <w:rPr>
          <w:rFonts w:hint="eastAsia" w:ascii="黑体" w:hAnsi="黑体" w:eastAsia="黑体"/>
          <w:szCs w:val="32"/>
        </w:rPr>
      </w:pPr>
    </w:p>
    <w:p>
      <w:pPr>
        <w:rPr>
          <w:rFonts w:hint="eastAsia" w:ascii="黑体" w:hAnsi="黑体" w:eastAsia="黑体"/>
          <w:szCs w:val="32"/>
        </w:rPr>
      </w:pPr>
    </w:p>
    <w:p>
      <w:pPr>
        <w:ind w:firstLine="640" w:firstLineChars="200"/>
        <w:jc w:val="center"/>
        <w:outlineLvl w:val="2"/>
        <w:rPr>
          <w:rFonts w:hint="eastAsia" w:ascii="黑体" w:hAnsi="黑体" w:eastAsia="黑体"/>
          <w:szCs w:val="32"/>
        </w:rPr>
      </w:pPr>
      <w:r>
        <w:rPr>
          <w:rFonts w:hint="eastAsia" w:ascii="黑体" w:hAnsi="黑体" w:eastAsia="黑体"/>
          <w:szCs w:val="32"/>
        </w:rPr>
        <w:t>支出决算表</w:t>
      </w:r>
    </w:p>
    <w:tbl>
      <w:tblPr>
        <w:tblStyle w:val="5"/>
        <w:tblW w:w="8998" w:type="dxa"/>
        <w:tblInd w:w="0" w:type="dxa"/>
        <w:tblLayout w:type="fixed"/>
        <w:tblCellMar>
          <w:top w:w="15" w:type="dxa"/>
          <w:left w:w="108" w:type="dxa"/>
          <w:bottom w:w="15" w:type="dxa"/>
          <w:right w:w="108" w:type="dxa"/>
        </w:tblCellMar>
      </w:tblPr>
      <w:tblGrid>
        <w:gridCol w:w="504"/>
        <w:gridCol w:w="450"/>
        <w:gridCol w:w="480"/>
        <w:gridCol w:w="2199"/>
        <w:gridCol w:w="1071"/>
        <w:gridCol w:w="1020"/>
        <w:gridCol w:w="900"/>
        <w:gridCol w:w="690"/>
        <w:gridCol w:w="772"/>
        <w:gridCol w:w="912"/>
      </w:tblGrid>
      <w:tr>
        <w:tblPrEx>
          <w:tblLayout w:type="fixed"/>
          <w:tblCellMar>
            <w:top w:w="15" w:type="dxa"/>
            <w:left w:w="108" w:type="dxa"/>
            <w:bottom w:w="15" w:type="dxa"/>
            <w:right w:w="108" w:type="dxa"/>
          </w:tblCellMar>
        </w:tblPrEx>
        <w:trPr>
          <w:trHeight w:val="285" w:hRule="atLeast"/>
        </w:trPr>
        <w:tc>
          <w:tcPr>
            <w:tcW w:w="504" w:type="dxa"/>
            <w:vAlign w:val="bottom"/>
          </w:tcPr>
          <w:p>
            <w:pPr>
              <w:widowControl/>
              <w:jc w:val="left"/>
              <w:rPr>
                <w:rFonts w:ascii="Arial" w:hAnsi="Arial" w:eastAsia="宋体" w:cs="宋体"/>
                <w:color w:val="000000"/>
                <w:kern w:val="0"/>
                <w:sz w:val="20"/>
              </w:rPr>
            </w:pPr>
          </w:p>
        </w:tc>
        <w:tc>
          <w:tcPr>
            <w:tcW w:w="450" w:type="dxa"/>
            <w:vAlign w:val="bottom"/>
          </w:tcPr>
          <w:p>
            <w:pPr>
              <w:widowControl/>
              <w:jc w:val="left"/>
              <w:rPr>
                <w:rFonts w:ascii="Arial" w:hAnsi="Arial" w:eastAsia="宋体" w:cs="宋体"/>
                <w:color w:val="000000"/>
                <w:kern w:val="0"/>
                <w:sz w:val="20"/>
              </w:rPr>
            </w:pPr>
          </w:p>
        </w:tc>
        <w:tc>
          <w:tcPr>
            <w:tcW w:w="480" w:type="dxa"/>
            <w:vAlign w:val="bottom"/>
          </w:tcPr>
          <w:p>
            <w:pPr>
              <w:widowControl/>
              <w:jc w:val="left"/>
              <w:rPr>
                <w:rFonts w:ascii="Arial" w:hAnsi="Arial" w:eastAsia="宋体" w:cs="宋体"/>
                <w:color w:val="000000"/>
                <w:kern w:val="0"/>
                <w:sz w:val="20"/>
              </w:rPr>
            </w:pPr>
          </w:p>
        </w:tc>
        <w:tc>
          <w:tcPr>
            <w:tcW w:w="2199" w:type="dxa"/>
            <w:vAlign w:val="bottom"/>
          </w:tcPr>
          <w:p>
            <w:pPr>
              <w:widowControl/>
              <w:jc w:val="left"/>
              <w:rPr>
                <w:rFonts w:ascii="Arial" w:hAnsi="Arial" w:eastAsia="宋体" w:cs="宋体"/>
                <w:color w:val="000000"/>
                <w:kern w:val="0"/>
                <w:sz w:val="20"/>
              </w:rPr>
            </w:pPr>
          </w:p>
        </w:tc>
        <w:tc>
          <w:tcPr>
            <w:tcW w:w="1071" w:type="dxa"/>
            <w:vAlign w:val="bottom"/>
          </w:tcPr>
          <w:p>
            <w:pPr>
              <w:widowControl/>
              <w:jc w:val="left"/>
              <w:rPr>
                <w:rFonts w:ascii="Arial" w:hAnsi="Arial" w:eastAsia="宋体" w:cs="宋体"/>
                <w:color w:val="000000"/>
                <w:kern w:val="0"/>
                <w:sz w:val="20"/>
              </w:rPr>
            </w:pPr>
          </w:p>
        </w:tc>
        <w:tc>
          <w:tcPr>
            <w:tcW w:w="1020" w:type="dxa"/>
            <w:vAlign w:val="bottom"/>
          </w:tcPr>
          <w:p>
            <w:pPr>
              <w:widowControl/>
              <w:jc w:val="left"/>
              <w:rPr>
                <w:rFonts w:ascii="Arial" w:hAnsi="Arial" w:eastAsia="宋体" w:cs="宋体"/>
                <w:color w:val="000000"/>
                <w:kern w:val="0"/>
                <w:sz w:val="20"/>
              </w:rPr>
            </w:pPr>
          </w:p>
        </w:tc>
        <w:tc>
          <w:tcPr>
            <w:tcW w:w="900" w:type="dxa"/>
            <w:vAlign w:val="bottom"/>
          </w:tcPr>
          <w:p>
            <w:pPr>
              <w:widowControl/>
              <w:jc w:val="left"/>
              <w:rPr>
                <w:rFonts w:ascii="Arial" w:hAnsi="Arial" w:eastAsia="宋体" w:cs="宋体"/>
                <w:color w:val="000000"/>
                <w:kern w:val="0"/>
                <w:sz w:val="20"/>
              </w:rPr>
            </w:pPr>
          </w:p>
        </w:tc>
        <w:tc>
          <w:tcPr>
            <w:tcW w:w="690" w:type="dxa"/>
            <w:vAlign w:val="bottom"/>
          </w:tcPr>
          <w:p>
            <w:pPr>
              <w:widowControl/>
              <w:jc w:val="left"/>
              <w:rPr>
                <w:rFonts w:ascii="Arial" w:hAnsi="Arial" w:eastAsia="宋体" w:cs="宋体"/>
                <w:color w:val="000000"/>
                <w:kern w:val="0"/>
                <w:sz w:val="20"/>
              </w:rPr>
            </w:pPr>
          </w:p>
        </w:tc>
        <w:tc>
          <w:tcPr>
            <w:tcW w:w="1684" w:type="dxa"/>
            <w:gridSpan w:val="2"/>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公开03表</w:t>
            </w:r>
          </w:p>
        </w:tc>
      </w:tr>
      <w:tr>
        <w:tblPrEx>
          <w:tblLayout w:type="fixed"/>
          <w:tblCellMar>
            <w:top w:w="15" w:type="dxa"/>
            <w:left w:w="108" w:type="dxa"/>
            <w:bottom w:w="15" w:type="dxa"/>
            <w:right w:w="108" w:type="dxa"/>
          </w:tblCellMar>
        </w:tblPrEx>
        <w:trPr>
          <w:trHeight w:val="300" w:hRule="atLeast"/>
        </w:trPr>
        <w:tc>
          <w:tcPr>
            <w:tcW w:w="3633" w:type="dxa"/>
            <w:gridSpan w:val="4"/>
            <w:tcBorders>
              <w:bottom w:val="single" w:color="auto" w:sz="4" w:space="0"/>
            </w:tcBorders>
            <w:vAlign w:val="bottom"/>
          </w:tcPr>
          <w:p>
            <w:pPr>
              <w:widowControl/>
              <w:jc w:val="left"/>
              <w:rPr>
                <w:rFonts w:ascii="Arial" w:hAnsi="Arial" w:eastAsia="宋体" w:cs="宋体"/>
                <w:color w:val="000000"/>
                <w:kern w:val="0"/>
                <w:sz w:val="20"/>
              </w:rPr>
            </w:pPr>
            <w:r>
              <w:rPr>
                <w:rFonts w:hint="eastAsia" w:ascii="宋体" w:hAnsi="宋体" w:eastAsia="宋体" w:cs="宋体"/>
                <w:color w:val="000000"/>
                <w:kern w:val="0"/>
                <w:sz w:val="20"/>
              </w:rPr>
              <w:t>部门：</w:t>
            </w:r>
            <w:r>
              <w:rPr>
                <w:rFonts w:hint="eastAsia" w:ascii="宋体" w:hAnsi="宋体" w:eastAsia="宋体" w:cs="宋体"/>
                <w:color w:val="000000"/>
                <w:kern w:val="0"/>
                <w:sz w:val="20"/>
                <w:lang w:eastAsia="zh-CN"/>
              </w:rPr>
              <w:t>黄山市住房公积金管理中心</w:t>
            </w:r>
          </w:p>
        </w:tc>
        <w:tc>
          <w:tcPr>
            <w:tcW w:w="1071" w:type="dxa"/>
            <w:tcBorders>
              <w:bottom w:val="single" w:color="auto" w:sz="4" w:space="0"/>
            </w:tcBorders>
            <w:vAlign w:val="bottom"/>
          </w:tcPr>
          <w:p>
            <w:pPr>
              <w:widowControl/>
              <w:jc w:val="left"/>
              <w:rPr>
                <w:rFonts w:ascii="Arial" w:hAnsi="Arial" w:eastAsia="宋体" w:cs="宋体"/>
                <w:color w:val="000000"/>
                <w:kern w:val="0"/>
                <w:sz w:val="20"/>
              </w:rPr>
            </w:pPr>
          </w:p>
        </w:tc>
        <w:tc>
          <w:tcPr>
            <w:tcW w:w="1020" w:type="dxa"/>
            <w:tcBorders>
              <w:bottom w:val="single" w:color="auto" w:sz="4" w:space="0"/>
            </w:tcBorders>
            <w:vAlign w:val="bottom"/>
          </w:tcPr>
          <w:p>
            <w:pPr>
              <w:widowControl/>
              <w:jc w:val="center"/>
              <w:rPr>
                <w:rFonts w:ascii="宋体" w:hAnsi="宋体" w:eastAsia="宋体" w:cs="宋体"/>
                <w:color w:val="000000"/>
                <w:kern w:val="0"/>
                <w:sz w:val="24"/>
                <w:szCs w:val="24"/>
              </w:rPr>
            </w:pPr>
          </w:p>
        </w:tc>
        <w:tc>
          <w:tcPr>
            <w:tcW w:w="900" w:type="dxa"/>
            <w:tcBorders>
              <w:bottom w:val="single" w:color="auto" w:sz="4" w:space="0"/>
            </w:tcBorders>
            <w:vAlign w:val="bottom"/>
          </w:tcPr>
          <w:p>
            <w:pPr>
              <w:widowControl/>
              <w:jc w:val="left"/>
              <w:rPr>
                <w:rFonts w:ascii="Arial" w:hAnsi="Arial" w:eastAsia="宋体" w:cs="宋体"/>
                <w:color w:val="000000"/>
                <w:kern w:val="0"/>
                <w:sz w:val="20"/>
              </w:rPr>
            </w:pPr>
          </w:p>
        </w:tc>
        <w:tc>
          <w:tcPr>
            <w:tcW w:w="690" w:type="dxa"/>
            <w:tcBorders>
              <w:bottom w:val="single" w:color="auto" w:sz="4" w:space="0"/>
            </w:tcBorders>
            <w:vAlign w:val="bottom"/>
          </w:tcPr>
          <w:p>
            <w:pPr>
              <w:widowControl/>
              <w:jc w:val="left"/>
              <w:rPr>
                <w:rFonts w:ascii="Arial" w:hAnsi="Arial" w:eastAsia="宋体" w:cs="宋体"/>
                <w:color w:val="000000"/>
                <w:kern w:val="0"/>
                <w:sz w:val="20"/>
              </w:rPr>
            </w:pPr>
          </w:p>
        </w:tc>
        <w:tc>
          <w:tcPr>
            <w:tcW w:w="1684" w:type="dxa"/>
            <w:gridSpan w:val="2"/>
            <w:tcBorders>
              <w:bottom w:val="single" w:color="auto" w:sz="4" w:space="0"/>
            </w:tcBorders>
            <w:vAlign w:val="bottom"/>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Layout w:type="fixed"/>
          <w:tblCellMar>
            <w:top w:w="15" w:type="dxa"/>
            <w:left w:w="108" w:type="dxa"/>
            <w:bottom w:w="15" w:type="dxa"/>
            <w:right w:w="108" w:type="dxa"/>
          </w:tblCellMar>
        </w:tblPrEx>
        <w:trPr>
          <w:trHeight w:val="450" w:hRule="atLeast"/>
        </w:trPr>
        <w:tc>
          <w:tcPr>
            <w:tcW w:w="363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07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本年支出合计</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69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上缴上级支出</w:t>
            </w:r>
          </w:p>
        </w:tc>
        <w:tc>
          <w:tcPr>
            <w:tcW w:w="77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经营支出</w:t>
            </w:r>
          </w:p>
        </w:tc>
        <w:tc>
          <w:tcPr>
            <w:tcW w:w="9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对附属单位补助支出</w:t>
            </w:r>
          </w:p>
        </w:tc>
      </w:tr>
      <w:tr>
        <w:tblPrEx>
          <w:tblLayout w:type="fixed"/>
          <w:tblCellMar>
            <w:top w:w="15" w:type="dxa"/>
            <w:left w:w="108" w:type="dxa"/>
            <w:bottom w:w="15" w:type="dxa"/>
            <w:right w:w="108" w:type="dxa"/>
          </w:tblCellMar>
        </w:tblPrEx>
        <w:trPr>
          <w:trHeight w:val="54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auto"/>
                <w:kern w:val="0"/>
                <w:sz w:val="22"/>
                <w:szCs w:val="22"/>
                <w:lang w:eastAsia="zh-CN"/>
              </w:rPr>
              <w:t>功能分类</w:t>
            </w:r>
            <w:r>
              <w:rPr>
                <w:rFonts w:hint="eastAsia" w:ascii="宋体" w:hAnsi="宋体" w:eastAsia="宋体" w:cs="宋体"/>
                <w:color w:val="000000"/>
                <w:kern w:val="0"/>
                <w:sz w:val="22"/>
                <w:szCs w:val="22"/>
              </w:rPr>
              <w:t>科目编码</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r>
      <w:tr>
        <w:tblPrEx>
          <w:tblLayout w:type="fixed"/>
          <w:tblCellMar>
            <w:top w:w="15" w:type="dxa"/>
            <w:left w:w="108" w:type="dxa"/>
            <w:bottom w:w="15" w:type="dxa"/>
            <w:right w:w="108" w:type="dxa"/>
          </w:tblCellMar>
        </w:tblPrEx>
        <w:trPr>
          <w:trHeight w:val="629" w:hRule="atLeast"/>
        </w:trPr>
        <w:tc>
          <w:tcPr>
            <w:tcW w:w="5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4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1533.05</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1009.59</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523.46</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201</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901.17</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20199</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其他一般公共服务支出</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901.17</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2019999</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其他一般公共服务支出</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901.17</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210</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卫生健康支出</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35.42</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35.42</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2101102</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事业单位医疗</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35.42</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596.46</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596.46</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523.46</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22102</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rPr>
              <w:t>73.00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2210201</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73.00</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rPr>
              <w:t>73.00</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22103</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城乡社区住宅</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523.46</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523.46</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450" w:hRule="atLeast"/>
        </w:trPr>
        <w:tc>
          <w:tcPr>
            <w:tcW w:w="143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2210302</w:t>
            </w:r>
          </w:p>
        </w:tc>
        <w:tc>
          <w:tcPr>
            <w:tcW w:w="219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住房公积金管理</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523.46</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523.46</w:t>
            </w:r>
          </w:p>
        </w:tc>
        <w:tc>
          <w:tcPr>
            <w:tcW w:w="69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91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bl>
    <w:p>
      <w:pPr>
        <w:rPr>
          <w:rFonts w:hint="eastAsia" w:ascii="黑体" w:hAnsi="黑体" w:eastAsia="黑体"/>
          <w:szCs w:val="32"/>
        </w:rPr>
      </w:pPr>
    </w:p>
    <w:p>
      <w:pPr>
        <w:ind w:firstLine="640" w:firstLineChars="200"/>
        <w:jc w:val="center"/>
        <w:outlineLvl w:val="2"/>
        <w:rPr>
          <w:rFonts w:hint="eastAsia" w:ascii="黑体" w:hAnsi="黑体" w:eastAsia="黑体"/>
          <w:szCs w:val="32"/>
        </w:rPr>
      </w:pPr>
      <w:r>
        <w:rPr>
          <w:rFonts w:hint="eastAsia" w:ascii="黑体" w:hAnsi="黑体" w:eastAsia="黑体"/>
          <w:szCs w:val="32"/>
        </w:rPr>
        <w:t>财政拨款收入支出决算总表</w:t>
      </w:r>
    </w:p>
    <w:tbl>
      <w:tblPr>
        <w:tblStyle w:val="5"/>
        <w:tblW w:w="8998" w:type="dxa"/>
        <w:tblInd w:w="0" w:type="dxa"/>
        <w:tblLayout w:type="fixed"/>
        <w:tblCellMar>
          <w:top w:w="15" w:type="dxa"/>
          <w:left w:w="108" w:type="dxa"/>
          <w:bottom w:w="15" w:type="dxa"/>
          <w:right w:w="108" w:type="dxa"/>
        </w:tblCellMar>
      </w:tblPr>
      <w:tblGrid>
        <w:gridCol w:w="1322"/>
        <w:gridCol w:w="936"/>
        <w:gridCol w:w="1096"/>
        <w:gridCol w:w="515"/>
        <w:gridCol w:w="1360"/>
        <w:gridCol w:w="1093"/>
        <w:gridCol w:w="1142"/>
        <w:gridCol w:w="756"/>
        <w:gridCol w:w="778"/>
      </w:tblGrid>
      <w:tr>
        <w:tblPrEx>
          <w:tblLayout w:type="fixed"/>
          <w:tblCellMar>
            <w:top w:w="15" w:type="dxa"/>
            <w:left w:w="108" w:type="dxa"/>
            <w:bottom w:w="15" w:type="dxa"/>
            <w:right w:w="108" w:type="dxa"/>
          </w:tblCellMar>
        </w:tblPrEx>
        <w:trPr>
          <w:trHeight w:val="242" w:hRule="atLeast"/>
        </w:trPr>
        <w:tc>
          <w:tcPr>
            <w:tcW w:w="1322" w:type="dxa"/>
            <w:vAlign w:val="bottom"/>
          </w:tcPr>
          <w:p>
            <w:pPr>
              <w:widowControl/>
              <w:jc w:val="left"/>
              <w:rPr>
                <w:rFonts w:ascii="Arial" w:hAnsi="Arial" w:eastAsia="宋体" w:cs="宋体"/>
                <w:kern w:val="0"/>
                <w:sz w:val="20"/>
              </w:rPr>
            </w:pPr>
          </w:p>
        </w:tc>
        <w:tc>
          <w:tcPr>
            <w:tcW w:w="2032" w:type="dxa"/>
            <w:gridSpan w:val="2"/>
            <w:vAlign w:val="bottom"/>
          </w:tcPr>
          <w:p>
            <w:pPr>
              <w:widowControl/>
              <w:jc w:val="left"/>
              <w:rPr>
                <w:rFonts w:ascii="Arial" w:hAnsi="Arial" w:eastAsia="宋体" w:cs="宋体"/>
                <w:color w:val="000000"/>
                <w:kern w:val="0"/>
                <w:sz w:val="20"/>
              </w:rPr>
            </w:pPr>
          </w:p>
        </w:tc>
        <w:tc>
          <w:tcPr>
            <w:tcW w:w="515" w:type="dxa"/>
            <w:vAlign w:val="bottom"/>
          </w:tcPr>
          <w:p>
            <w:pPr>
              <w:widowControl/>
              <w:jc w:val="left"/>
              <w:rPr>
                <w:rFonts w:ascii="Arial" w:hAnsi="Arial" w:eastAsia="宋体" w:cs="宋体"/>
                <w:color w:val="000000"/>
                <w:kern w:val="0"/>
                <w:sz w:val="20"/>
              </w:rPr>
            </w:pPr>
          </w:p>
        </w:tc>
        <w:tc>
          <w:tcPr>
            <w:tcW w:w="1360" w:type="dxa"/>
            <w:vAlign w:val="bottom"/>
          </w:tcPr>
          <w:p>
            <w:pPr>
              <w:widowControl/>
              <w:jc w:val="left"/>
              <w:rPr>
                <w:rFonts w:ascii="Arial" w:hAnsi="Arial" w:eastAsia="宋体" w:cs="宋体"/>
                <w:color w:val="000000"/>
                <w:kern w:val="0"/>
                <w:sz w:val="20"/>
              </w:rPr>
            </w:pPr>
          </w:p>
        </w:tc>
        <w:tc>
          <w:tcPr>
            <w:tcW w:w="3769" w:type="dxa"/>
            <w:gridSpan w:val="4"/>
            <w:vAlign w:val="bottom"/>
          </w:tcPr>
          <w:p>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公开04表</w:t>
            </w:r>
          </w:p>
        </w:tc>
      </w:tr>
      <w:tr>
        <w:tblPrEx>
          <w:tblLayout w:type="fixed"/>
          <w:tblCellMar>
            <w:top w:w="15" w:type="dxa"/>
            <w:left w:w="108" w:type="dxa"/>
            <w:bottom w:w="15" w:type="dxa"/>
            <w:right w:w="108" w:type="dxa"/>
          </w:tblCellMar>
        </w:tblPrEx>
        <w:trPr>
          <w:trHeight w:val="254" w:hRule="atLeast"/>
        </w:trPr>
        <w:tc>
          <w:tcPr>
            <w:tcW w:w="3354" w:type="dxa"/>
            <w:gridSpan w:val="3"/>
            <w:tcBorders>
              <w:bottom w:val="single" w:color="auto" w:sz="4" w:space="0"/>
            </w:tcBorders>
            <w:vAlign w:val="bottom"/>
          </w:tcPr>
          <w:p>
            <w:pPr>
              <w:widowControl/>
              <w:jc w:val="center"/>
              <w:rPr>
                <w:rFonts w:ascii="宋体" w:hAnsi="宋体" w:eastAsia="宋体" w:cs="宋体"/>
                <w:color w:val="000000"/>
                <w:kern w:val="0"/>
                <w:sz w:val="20"/>
              </w:rPr>
            </w:pPr>
            <w:r>
              <w:rPr>
                <w:rFonts w:hint="eastAsia" w:ascii="宋体" w:hAnsi="宋体" w:eastAsia="宋体" w:cs="宋体"/>
                <w:kern w:val="0"/>
                <w:sz w:val="20"/>
              </w:rPr>
              <w:t>部门：</w:t>
            </w:r>
            <w:r>
              <w:rPr>
                <w:rFonts w:hint="eastAsia" w:ascii="宋体" w:hAnsi="宋体" w:eastAsia="宋体" w:cs="宋体"/>
                <w:color w:val="000000"/>
                <w:kern w:val="0"/>
                <w:sz w:val="20"/>
                <w:lang w:eastAsia="zh-CN"/>
              </w:rPr>
              <w:t>黄山市住房公积金管理中心</w:t>
            </w:r>
          </w:p>
        </w:tc>
        <w:tc>
          <w:tcPr>
            <w:tcW w:w="515" w:type="dxa"/>
            <w:tcBorders>
              <w:bottom w:val="single" w:color="auto" w:sz="4" w:space="0"/>
            </w:tcBorders>
            <w:vAlign w:val="bottom"/>
          </w:tcPr>
          <w:p>
            <w:pPr>
              <w:widowControl/>
              <w:jc w:val="left"/>
              <w:rPr>
                <w:rFonts w:ascii="Arial" w:hAnsi="Arial" w:eastAsia="宋体" w:cs="宋体"/>
                <w:color w:val="000000"/>
                <w:kern w:val="0"/>
                <w:sz w:val="20"/>
              </w:rPr>
            </w:pPr>
          </w:p>
        </w:tc>
        <w:tc>
          <w:tcPr>
            <w:tcW w:w="1360" w:type="dxa"/>
            <w:tcBorders>
              <w:bottom w:val="single" w:color="auto" w:sz="4" w:space="0"/>
            </w:tcBorders>
            <w:vAlign w:val="bottom"/>
          </w:tcPr>
          <w:p>
            <w:pPr>
              <w:widowControl/>
              <w:jc w:val="left"/>
              <w:rPr>
                <w:rFonts w:ascii="Arial" w:hAnsi="Arial" w:eastAsia="宋体" w:cs="宋体"/>
                <w:color w:val="000000"/>
                <w:kern w:val="0"/>
                <w:sz w:val="20"/>
              </w:rPr>
            </w:pPr>
          </w:p>
        </w:tc>
        <w:tc>
          <w:tcPr>
            <w:tcW w:w="3769" w:type="dxa"/>
            <w:gridSpan w:val="4"/>
            <w:tcBorders>
              <w:bottom w:val="single" w:color="auto" w:sz="4" w:space="0"/>
            </w:tcBorders>
            <w:vAlign w:val="bottom"/>
          </w:tcPr>
          <w:p>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Layout w:type="fixed"/>
          <w:tblCellMar>
            <w:top w:w="15" w:type="dxa"/>
            <w:left w:w="108" w:type="dxa"/>
            <w:bottom w:w="15" w:type="dxa"/>
            <w:right w:w="108" w:type="dxa"/>
          </w:tblCellMar>
        </w:tblPrEx>
        <w:trPr>
          <w:trHeight w:val="300" w:hRule="atLeast"/>
        </w:trPr>
        <w:tc>
          <w:tcPr>
            <w:tcW w:w="335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收入</w:t>
            </w:r>
          </w:p>
        </w:tc>
        <w:tc>
          <w:tcPr>
            <w:tcW w:w="564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支出</w:t>
            </w: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    目</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6"/>
                <w:szCs w:val="16"/>
                <w:lang w:val="en" w:eastAsia="zh-CN"/>
              </w:rPr>
            </w:pPr>
            <w:r>
              <w:rPr>
                <w:rFonts w:hint="eastAsia" w:ascii="宋体" w:hAnsi="宋体" w:eastAsia="宋体" w:cs="宋体"/>
                <w:color w:val="000000"/>
                <w:kern w:val="0"/>
                <w:sz w:val="20"/>
                <w:szCs w:val="20"/>
                <w:lang w:val="en" w:eastAsia="zh-CN"/>
              </w:rPr>
              <w:t>小计</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一般公共预算财政拨款</w:t>
            </w: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政府性基金预算财政拨款</w:t>
            </w: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lang w:eastAsia="zh-CN"/>
              </w:rPr>
              <w:t>国有资本经营</w:t>
            </w:r>
            <w:r>
              <w:rPr>
                <w:rFonts w:hint="eastAsia" w:ascii="宋体" w:hAnsi="宋体" w:eastAsia="宋体" w:cs="宋体"/>
                <w:color w:val="000000"/>
                <w:kern w:val="0"/>
                <w:sz w:val="16"/>
                <w:szCs w:val="16"/>
              </w:rPr>
              <w:t>预算财政拨款</w:t>
            </w:r>
          </w:p>
        </w:tc>
      </w:tr>
      <w:tr>
        <w:tblPrEx>
          <w:tblLayout w:type="fixed"/>
          <w:tblCellMar>
            <w:top w:w="15" w:type="dxa"/>
            <w:left w:w="108" w:type="dxa"/>
            <w:bottom w:w="15" w:type="dxa"/>
            <w:right w:w="108" w:type="dxa"/>
          </w:tblCellMar>
        </w:tblPrEx>
        <w:trPr>
          <w:trHeight w:val="248"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1972.87</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901.17</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901.17</w:t>
            </w: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72"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46"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eastAsia="宋体" w:cs="宋体"/>
                <w:color w:val="auto"/>
                <w:kern w:val="0"/>
                <w:sz w:val="21"/>
                <w:szCs w:val="21"/>
                <w:lang w:val="en-US" w:eastAsia="zh-CN"/>
              </w:rPr>
              <w:t>三、国有资本经营预算财政拨款</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24"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48"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72"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36"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24"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48"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35.42</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35.42</w:t>
            </w: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198"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22"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58"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34"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24"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6"/>
                <w:szCs w:val="16"/>
              </w:rPr>
              <w:t>十四、资源勘探信息等支出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6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十五、商业服务业等支出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6"/>
                <w:szCs w:val="16"/>
              </w:rPr>
              <w:t>十七、援助其他地区支出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6"/>
                <w:szCs w:val="16"/>
              </w:rPr>
              <w:t>十八、自然资源海洋气象等支出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48"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596.46</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596.46</w:t>
            </w: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12"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6"/>
                <w:szCs w:val="16"/>
              </w:rPr>
              <w:t>二十、粮油物资储备支出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24"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6"/>
                <w:szCs w:val="16"/>
                <w:lang w:eastAsia="zh-CN"/>
              </w:rPr>
              <w:t>二十一、国有资本经营预算支出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15"/>
                <w:szCs w:val="15"/>
              </w:rPr>
              <w:t>二十</w:t>
            </w:r>
            <w:r>
              <w:rPr>
                <w:rFonts w:hint="eastAsia" w:ascii="宋体" w:hAnsi="宋体" w:eastAsia="宋体" w:cs="宋体"/>
                <w:color w:val="000000"/>
                <w:kern w:val="0"/>
                <w:sz w:val="15"/>
                <w:szCs w:val="15"/>
                <w:lang w:eastAsia="zh-CN"/>
              </w:rPr>
              <w:t>二</w:t>
            </w:r>
            <w:r>
              <w:rPr>
                <w:rFonts w:hint="eastAsia" w:ascii="宋体" w:hAnsi="宋体" w:eastAsia="宋体" w:cs="宋体"/>
                <w:color w:val="000000"/>
                <w:kern w:val="0"/>
                <w:sz w:val="15"/>
                <w:szCs w:val="15"/>
              </w:rPr>
              <w:t>、灾害防治及应急管理支出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36"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三</w:t>
            </w:r>
            <w:r>
              <w:rPr>
                <w:rFonts w:hint="eastAsia" w:ascii="宋体" w:hAnsi="宋体" w:eastAsia="宋体" w:cs="宋体"/>
                <w:color w:val="000000"/>
                <w:kern w:val="0"/>
                <w:sz w:val="22"/>
                <w:szCs w:val="22"/>
              </w:rPr>
              <w:t>、其他支出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四</w:t>
            </w:r>
            <w:r>
              <w:rPr>
                <w:rFonts w:hint="eastAsia" w:ascii="宋体" w:hAnsi="宋体" w:eastAsia="宋体" w:cs="宋体"/>
                <w:color w:val="000000"/>
                <w:kern w:val="0"/>
                <w:sz w:val="22"/>
                <w:szCs w:val="22"/>
              </w:rPr>
              <w:t>、债务还本支出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24"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szCs w:val="22"/>
              </w:rPr>
            </w:pPr>
            <w:r>
              <w:rPr>
                <w:rFonts w:hint="eastAsia" w:ascii="宋体" w:hAnsi="宋体" w:eastAsia="宋体" w:cs="宋体"/>
                <w:color w:val="000000"/>
                <w:kern w:val="0"/>
                <w:sz w:val="22"/>
                <w:szCs w:val="22"/>
              </w:rPr>
              <w:t>二十</w:t>
            </w:r>
            <w:r>
              <w:rPr>
                <w:rFonts w:hint="eastAsia" w:ascii="宋体" w:hAnsi="宋体" w:eastAsia="宋体" w:cs="宋体"/>
                <w:color w:val="000000"/>
                <w:kern w:val="0"/>
                <w:sz w:val="22"/>
                <w:szCs w:val="22"/>
                <w:lang w:eastAsia="zh-CN"/>
              </w:rPr>
              <w:t>五</w:t>
            </w:r>
            <w:r>
              <w:rPr>
                <w:rFonts w:hint="eastAsia" w:ascii="宋体" w:hAnsi="宋体" w:eastAsia="宋体" w:cs="宋体"/>
                <w:color w:val="000000"/>
                <w:kern w:val="0"/>
                <w:sz w:val="22"/>
                <w:szCs w:val="22"/>
              </w:rPr>
              <w:t>、债务付息支出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szCs w:val="22"/>
              </w:rPr>
            </w:pPr>
            <w:r>
              <w:rPr>
                <w:rFonts w:hint="eastAsia" w:ascii="宋体" w:hAnsi="宋体" w:eastAsia="宋体" w:cs="宋体"/>
                <w:color w:val="000000"/>
                <w:kern w:val="0"/>
                <w:sz w:val="15"/>
                <w:szCs w:val="15"/>
                <w:lang w:eastAsia="zh-CN"/>
              </w:rPr>
              <w:t>二十六、抗疫特别国债安排的支出</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1972.87</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1533.05</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1533.05</w:t>
            </w: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rPr>
              <w:t>年初财政拨款结转和结余</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818.92</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 w:val="16"/>
                <w:szCs w:val="16"/>
              </w:rPr>
            </w:pPr>
            <w:r>
              <w:rPr>
                <w:rFonts w:hint="eastAsia" w:ascii="宋体" w:hAnsi="宋体" w:eastAsia="宋体" w:cs="宋体"/>
                <w:color w:val="000000"/>
                <w:kern w:val="0"/>
                <w:sz w:val="16"/>
                <w:szCs w:val="16"/>
              </w:rPr>
              <w:t>年末财政拨款结转和结余</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1258.74</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1258.74</w:t>
            </w: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24"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一般公共预算财政拨款</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818.92</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236"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政府性基金预算财政拨款</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188"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szCs w:val="22"/>
                <w:lang w:eastAsia="zh-CN"/>
              </w:rPr>
            </w:pPr>
            <w:r>
              <w:rPr>
                <w:rFonts w:hint="eastAsia" w:ascii="宋体" w:hAnsi="宋体" w:eastAsia="宋体" w:cs="宋体"/>
                <w:b/>
                <w:bCs/>
                <w:color w:val="auto"/>
                <w:kern w:val="0"/>
                <w:sz w:val="22"/>
                <w:szCs w:val="22"/>
                <w:lang w:val="en-US" w:eastAsia="zh-CN"/>
              </w:rPr>
              <w:t xml:space="preserve">  </w:t>
            </w:r>
            <w:r>
              <w:rPr>
                <w:rFonts w:hint="eastAsia" w:ascii="宋体" w:hAnsi="宋体" w:eastAsia="宋体" w:cs="宋体"/>
                <w:color w:val="auto"/>
                <w:kern w:val="0"/>
                <w:sz w:val="22"/>
                <w:szCs w:val="22"/>
                <w:lang w:eastAsia="zh-CN"/>
              </w:rPr>
              <w:t>国有资本经营预算财政拨款</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2"/>
                <w:szCs w:val="22"/>
              </w:rPr>
            </w:pP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300" w:hRule="atLeast"/>
        </w:trPr>
        <w:tc>
          <w:tcPr>
            <w:tcW w:w="225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1096"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2791.79</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10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2791.79</w:t>
            </w:r>
          </w:p>
        </w:tc>
        <w:tc>
          <w:tcPr>
            <w:tcW w:w="11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2791.79</w:t>
            </w:r>
          </w:p>
        </w:tc>
        <w:tc>
          <w:tcPr>
            <w:tcW w:w="7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77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bl>
    <w:p>
      <w:pPr>
        <w:ind w:firstLine="640" w:firstLineChars="200"/>
        <w:rPr>
          <w:rFonts w:hint="eastAsia" w:ascii="黑体" w:hAnsi="黑体" w:eastAsia="黑体"/>
          <w:szCs w:val="32"/>
        </w:rPr>
      </w:pPr>
    </w:p>
    <w:p>
      <w:pPr>
        <w:ind w:firstLine="640" w:firstLineChars="200"/>
        <w:jc w:val="center"/>
        <w:outlineLvl w:val="2"/>
        <w:rPr>
          <w:rFonts w:hint="eastAsia" w:ascii="黑体" w:hAnsi="黑体" w:eastAsia="黑体"/>
          <w:szCs w:val="32"/>
        </w:rPr>
      </w:pPr>
      <w:r>
        <w:rPr>
          <w:rFonts w:hint="eastAsia" w:ascii="黑体" w:hAnsi="黑体" w:eastAsia="黑体"/>
          <w:szCs w:val="32"/>
        </w:rPr>
        <w:t>一般公共预算财政拨款支出决算表</w:t>
      </w:r>
    </w:p>
    <w:tbl>
      <w:tblPr>
        <w:tblStyle w:val="5"/>
        <w:tblW w:w="8779" w:type="dxa"/>
        <w:tblInd w:w="93" w:type="dxa"/>
        <w:tblLayout w:type="fixed"/>
        <w:tblCellMar>
          <w:top w:w="15" w:type="dxa"/>
          <w:left w:w="108" w:type="dxa"/>
          <w:bottom w:w="15" w:type="dxa"/>
          <w:right w:w="108" w:type="dxa"/>
        </w:tblCellMar>
      </w:tblPr>
      <w:tblGrid>
        <w:gridCol w:w="336"/>
        <w:gridCol w:w="375"/>
        <w:gridCol w:w="390"/>
        <w:gridCol w:w="2044"/>
        <w:gridCol w:w="1252"/>
        <w:gridCol w:w="2191"/>
        <w:gridCol w:w="2191"/>
      </w:tblGrid>
      <w:tr>
        <w:tblPrEx>
          <w:tblLayout w:type="fixed"/>
          <w:tblCellMar>
            <w:top w:w="15" w:type="dxa"/>
            <w:left w:w="108" w:type="dxa"/>
            <w:bottom w:w="15" w:type="dxa"/>
            <w:right w:w="108" w:type="dxa"/>
          </w:tblCellMar>
        </w:tblPrEx>
        <w:trPr>
          <w:trHeight w:val="360" w:hRule="atLeast"/>
        </w:trPr>
        <w:tc>
          <w:tcPr>
            <w:tcW w:w="8779" w:type="dxa"/>
            <w:gridSpan w:val="7"/>
            <w:vAlign w:val="bottom"/>
          </w:tcPr>
          <w:p>
            <w:pPr>
              <w:widowControl/>
              <w:ind w:firstLine="7276" w:firstLineChars="3638"/>
              <w:jc w:val="left"/>
              <w:rPr>
                <w:rFonts w:ascii="Arial" w:hAnsi="Arial" w:eastAsia="宋体" w:cs="宋体"/>
                <w:color w:val="000000"/>
                <w:kern w:val="0"/>
                <w:sz w:val="20"/>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rPr>
              <w:t>公开05表</w:t>
            </w:r>
          </w:p>
        </w:tc>
      </w:tr>
      <w:tr>
        <w:tblPrEx>
          <w:tblLayout w:type="fixed"/>
          <w:tblCellMar>
            <w:top w:w="15" w:type="dxa"/>
            <w:left w:w="108" w:type="dxa"/>
            <w:bottom w:w="15" w:type="dxa"/>
            <w:right w:w="108" w:type="dxa"/>
          </w:tblCellMar>
        </w:tblPrEx>
        <w:trPr>
          <w:trHeight w:val="450" w:hRule="atLeast"/>
        </w:trPr>
        <w:tc>
          <w:tcPr>
            <w:tcW w:w="8779" w:type="dxa"/>
            <w:gridSpan w:val="7"/>
            <w:tcBorders>
              <w:bottom w:val="single" w:color="auto" w:sz="4" w:space="0"/>
            </w:tcBorders>
            <w:vAlign w:val="center"/>
          </w:tcPr>
          <w:p>
            <w:pPr>
              <w:widowControl/>
              <w:jc w:val="left"/>
              <w:rPr>
                <w:rFonts w:ascii="Arial" w:hAnsi="Arial" w:eastAsia="宋体" w:cs="宋体"/>
                <w:color w:val="000000"/>
                <w:kern w:val="0"/>
                <w:sz w:val="20"/>
              </w:rPr>
            </w:pPr>
            <w:r>
              <w:rPr>
                <w:rFonts w:hint="eastAsia" w:ascii="宋体" w:hAnsi="宋体" w:eastAsia="宋体" w:cs="宋体"/>
                <w:kern w:val="0"/>
                <w:sz w:val="20"/>
              </w:rPr>
              <w:t>部门：</w:t>
            </w:r>
            <w:r>
              <w:rPr>
                <w:rFonts w:hint="eastAsia" w:ascii="宋体" w:hAnsi="宋体" w:eastAsia="宋体" w:cs="宋体"/>
                <w:color w:val="000000"/>
                <w:kern w:val="0"/>
                <w:sz w:val="20"/>
                <w:lang w:eastAsia="zh-CN"/>
              </w:rPr>
              <w:t>黄山市住房公积金管理中心</w:t>
            </w:r>
            <w:r>
              <w:rPr>
                <w:rFonts w:hint="eastAsia" w:ascii="宋体" w:hAnsi="宋体" w:eastAsia="宋体" w:cs="宋体"/>
                <w:kern w:val="0"/>
                <w:sz w:val="20"/>
              </w:rPr>
              <w:t xml:space="preserve">                                          </w:t>
            </w:r>
            <w:r>
              <w:rPr>
                <w:rFonts w:hint="eastAsia" w:ascii="宋体" w:hAnsi="宋体" w:eastAsia="宋体" w:cs="宋体"/>
                <w:color w:val="000000"/>
                <w:kern w:val="0"/>
                <w:sz w:val="20"/>
              </w:rPr>
              <w:t>金额单位：万元</w:t>
            </w:r>
            <w:r>
              <w:rPr>
                <w:rFonts w:hint="eastAsia" w:ascii="宋体" w:hAnsi="宋体" w:eastAsia="宋体" w:cs="宋体"/>
                <w:kern w:val="0"/>
                <w:sz w:val="20"/>
              </w:rPr>
              <w:t xml:space="preserve">          </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 xml:space="preserve">          </w:t>
            </w:r>
          </w:p>
        </w:tc>
      </w:tr>
      <w:tr>
        <w:tblPrEx>
          <w:tblLayout w:type="fixed"/>
          <w:tblCellMar>
            <w:top w:w="15" w:type="dxa"/>
            <w:left w:w="108" w:type="dxa"/>
            <w:bottom w:w="15" w:type="dxa"/>
            <w:right w:w="108" w:type="dxa"/>
          </w:tblCellMar>
        </w:tblPrEx>
        <w:trPr>
          <w:trHeight w:val="781" w:hRule="atLeast"/>
        </w:trPr>
        <w:tc>
          <w:tcPr>
            <w:tcW w:w="110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功能分类</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科目编码</w:t>
            </w: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r>
      <w:tr>
        <w:tblPrEx>
          <w:tblLayout w:type="fixed"/>
          <w:tblCellMar>
            <w:top w:w="15" w:type="dxa"/>
            <w:left w:w="108" w:type="dxa"/>
            <w:bottom w:w="15" w:type="dxa"/>
            <w:right w:w="108" w:type="dxa"/>
          </w:tblCellMar>
        </w:tblPrEx>
        <w:trPr>
          <w:trHeight w:val="300" w:hRule="atLeast"/>
        </w:trPr>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5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1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21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r>
      <w:tr>
        <w:tblPrEx>
          <w:tblLayout w:type="fixed"/>
          <w:tblCellMar>
            <w:top w:w="15" w:type="dxa"/>
            <w:left w:w="108" w:type="dxa"/>
            <w:bottom w:w="15" w:type="dxa"/>
            <w:right w:w="108" w:type="dxa"/>
          </w:tblCellMar>
        </w:tblPrEx>
        <w:trPr>
          <w:trHeight w:val="286" w:hRule="atLeast"/>
        </w:trPr>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870" w:hRule="atLeast"/>
        </w:trPr>
        <w:tc>
          <w:tcPr>
            <w:tcW w:w="110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12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673" w:hRule="atLeast"/>
        </w:trPr>
        <w:tc>
          <w:tcPr>
            <w:tcW w:w="3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类</w:t>
            </w:r>
          </w:p>
        </w:tc>
        <w:tc>
          <w:tcPr>
            <w:tcW w:w="3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款</w:t>
            </w:r>
          </w:p>
        </w:tc>
        <w:tc>
          <w:tcPr>
            <w:tcW w:w="39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1533.05</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1009.59</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523.46</w:t>
            </w:r>
          </w:p>
        </w:tc>
      </w:tr>
      <w:tr>
        <w:tblPrEx>
          <w:tblLayout w:type="fixed"/>
          <w:tblCellMar>
            <w:top w:w="15" w:type="dxa"/>
            <w:left w:w="108" w:type="dxa"/>
            <w:bottom w:w="15" w:type="dxa"/>
            <w:right w:w="108" w:type="dxa"/>
          </w:tblCellMar>
        </w:tblPrEx>
        <w:trPr>
          <w:trHeight w:val="63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201</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一般公共服务支出</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799"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20199</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其他一般公共服务支出</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811"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2019999</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其他一般公共服务支出</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901.17</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539"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210</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卫生健康支出</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803"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21011</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行政事业单位医疗</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81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2101102</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事业单位医疗</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35.42</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81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住房保障支出</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596.46</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596.46</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523.46</w:t>
            </w:r>
          </w:p>
        </w:tc>
      </w:tr>
      <w:tr>
        <w:tblPrEx>
          <w:tblLayout w:type="fixed"/>
          <w:tblCellMar>
            <w:top w:w="15" w:type="dxa"/>
            <w:left w:w="108" w:type="dxa"/>
            <w:bottom w:w="15" w:type="dxa"/>
            <w:right w:w="108" w:type="dxa"/>
          </w:tblCellMar>
        </w:tblPrEx>
        <w:trPr>
          <w:trHeight w:val="81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22102</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住房改革支出</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rPr>
              <w:t>73.00</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rPr>
              <w:t>73.00</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81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2210201</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rPr>
              <w:t>73.00</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rPr>
              <w:t>73.00</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r>
      <w:tr>
        <w:tblPrEx>
          <w:tblLayout w:type="fixed"/>
          <w:tblCellMar>
            <w:top w:w="15" w:type="dxa"/>
            <w:left w:w="108" w:type="dxa"/>
            <w:bottom w:w="15" w:type="dxa"/>
            <w:right w:w="108" w:type="dxa"/>
          </w:tblCellMar>
        </w:tblPrEx>
        <w:trPr>
          <w:trHeight w:val="81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22103</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城乡社区住宅</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523.46</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523.46</w:t>
            </w:r>
          </w:p>
        </w:tc>
      </w:tr>
      <w:tr>
        <w:tblPrEx>
          <w:tblLayout w:type="fixed"/>
          <w:tblCellMar>
            <w:top w:w="15" w:type="dxa"/>
            <w:left w:w="108" w:type="dxa"/>
            <w:bottom w:w="15" w:type="dxa"/>
            <w:right w:w="108" w:type="dxa"/>
          </w:tblCellMar>
        </w:tblPrEx>
        <w:trPr>
          <w:trHeight w:val="814" w:hRule="atLeast"/>
        </w:trPr>
        <w:tc>
          <w:tcPr>
            <w:tcW w:w="110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2210302</w:t>
            </w:r>
          </w:p>
        </w:tc>
        <w:tc>
          <w:tcPr>
            <w:tcW w:w="20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  住房公积金管理</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523.46</w:t>
            </w: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523.46</w:t>
            </w:r>
          </w:p>
        </w:tc>
      </w:tr>
    </w:tbl>
    <w:p>
      <w:pPr>
        <w:ind w:firstLine="640" w:firstLineChars="200"/>
        <w:rPr>
          <w:rFonts w:hint="eastAsia" w:ascii="黑体" w:hAnsi="黑体" w:eastAsia="黑体"/>
          <w:szCs w:val="32"/>
        </w:rPr>
      </w:pPr>
    </w:p>
    <w:p>
      <w:pPr>
        <w:rPr>
          <w:rFonts w:hint="eastAsia" w:ascii="黑体" w:hAnsi="黑体" w:eastAsia="黑体"/>
          <w:szCs w:val="32"/>
        </w:rPr>
      </w:pPr>
    </w:p>
    <w:p>
      <w:pPr>
        <w:ind w:firstLine="640" w:firstLineChars="200"/>
        <w:jc w:val="center"/>
        <w:outlineLvl w:val="2"/>
        <w:rPr>
          <w:rFonts w:hint="eastAsia" w:ascii="黑体" w:hAnsi="黑体" w:eastAsia="黑体"/>
          <w:szCs w:val="32"/>
        </w:rPr>
      </w:pPr>
      <w:r>
        <w:rPr>
          <w:rFonts w:hint="eastAsia" w:ascii="黑体" w:hAnsi="黑体" w:eastAsia="黑体"/>
          <w:szCs w:val="32"/>
        </w:rPr>
        <w:t>一般公共预算财政拨款基本支出决算表</w:t>
      </w:r>
    </w:p>
    <w:tbl>
      <w:tblPr>
        <w:tblStyle w:val="5"/>
        <w:tblW w:w="10187" w:type="dxa"/>
        <w:tblInd w:w="93" w:type="dxa"/>
        <w:tblLayout w:type="fixed"/>
        <w:tblCellMar>
          <w:top w:w="0" w:type="dxa"/>
          <w:left w:w="108" w:type="dxa"/>
          <w:bottom w:w="0" w:type="dxa"/>
          <w:right w:w="108" w:type="dxa"/>
        </w:tblCellMar>
      </w:tblPr>
      <w:tblGrid>
        <w:gridCol w:w="846"/>
        <w:gridCol w:w="1605"/>
        <w:gridCol w:w="840"/>
        <w:gridCol w:w="832"/>
        <w:gridCol w:w="1403"/>
        <w:gridCol w:w="771"/>
        <w:gridCol w:w="834"/>
        <w:gridCol w:w="1665"/>
        <w:gridCol w:w="922"/>
        <w:gridCol w:w="469"/>
      </w:tblGrid>
      <w:tr>
        <w:tblPrEx>
          <w:tblLayout w:type="fixed"/>
          <w:tblCellMar>
            <w:top w:w="0" w:type="dxa"/>
            <w:left w:w="108" w:type="dxa"/>
            <w:bottom w:w="0" w:type="dxa"/>
            <w:right w:w="108" w:type="dxa"/>
          </w:tblCellMar>
        </w:tblPrEx>
        <w:trPr>
          <w:gridAfter w:val="1"/>
          <w:wAfter w:w="469" w:type="dxa"/>
          <w:trHeight w:val="225" w:hRule="atLeast"/>
        </w:trPr>
        <w:tc>
          <w:tcPr>
            <w:tcW w:w="846" w:type="dxa"/>
            <w:tcBorders>
              <w:top w:val="nil"/>
              <w:left w:val="nil"/>
              <w:bottom w:val="nil"/>
              <w:right w:val="nil"/>
            </w:tcBorders>
            <w:shd w:val="clear" w:color="auto" w:fill="FFFFFF"/>
            <w:vAlign w:val="center"/>
          </w:tcPr>
          <w:p>
            <w:pPr>
              <w:widowControl/>
              <w:jc w:val="center"/>
              <w:rPr>
                <w:rFonts w:ascii="宋体" w:hAnsi="宋体" w:eastAsia="宋体" w:cs="宋体"/>
                <w:kern w:val="0"/>
                <w:sz w:val="20"/>
              </w:rPr>
            </w:pPr>
            <w:r>
              <w:rPr>
                <w:rFonts w:hint="eastAsia" w:ascii="宋体" w:hAnsi="宋体" w:eastAsia="宋体" w:cs="宋体"/>
                <w:kern w:val="0"/>
                <w:sz w:val="20"/>
              </w:rPr>
              <w:t>　</w:t>
            </w:r>
          </w:p>
        </w:tc>
        <w:tc>
          <w:tcPr>
            <w:tcW w:w="1605" w:type="dxa"/>
            <w:tcBorders>
              <w:top w:val="nil"/>
              <w:left w:val="nil"/>
              <w:bottom w:val="nil"/>
              <w:right w:val="nil"/>
            </w:tcBorders>
            <w:shd w:val="clear" w:color="auto" w:fill="FFFFFF"/>
            <w:vAlign w:val="center"/>
          </w:tcPr>
          <w:p>
            <w:pPr>
              <w:widowControl/>
              <w:jc w:val="center"/>
              <w:rPr>
                <w:rFonts w:ascii="宋体" w:hAnsi="宋体" w:eastAsia="宋体" w:cs="宋体"/>
                <w:kern w:val="0"/>
                <w:sz w:val="20"/>
              </w:rPr>
            </w:pPr>
            <w:r>
              <w:rPr>
                <w:rFonts w:hint="eastAsia" w:ascii="宋体" w:hAnsi="宋体" w:eastAsia="宋体" w:cs="宋体"/>
                <w:kern w:val="0"/>
                <w:sz w:val="20"/>
              </w:rPr>
              <w:t>　</w:t>
            </w:r>
          </w:p>
        </w:tc>
        <w:tc>
          <w:tcPr>
            <w:tcW w:w="840" w:type="dxa"/>
            <w:tcBorders>
              <w:top w:val="nil"/>
              <w:left w:val="nil"/>
              <w:bottom w:val="nil"/>
              <w:right w:val="nil"/>
            </w:tcBorders>
            <w:shd w:val="clear" w:color="auto" w:fill="FFFFFF"/>
            <w:vAlign w:val="center"/>
          </w:tcPr>
          <w:p>
            <w:pPr>
              <w:widowControl/>
              <w:jc w:val="center"/>
              <w:rPr>
                <w:rFonts w:ascii="宋体" w:hAnsi="宋体" w:eastAsia="宋体" w:cs="宋体"/>
                <w:kern w:val="0"/>
                <w:sz w:val="20"/>
              </w:rPr>
            </w:pPr>
            <w:r>
              <w:rPr>
                <w:rFonts w:hint="eastAsia" w:ascii="宋体" w:hAnsi="宋体" w:eastAsia="宋体" w:cs="宋体"/>
                <w:kern w:val="0"/>
                <w:sz w:val="20"/>
              </w:rPr>
              <w:t>　</w:t>
            </w:r>
          </w:p>
        </w:tc>
        <w:tc>
          <w:tcPr>
            <w:tcW w:w="832" w:type="dxa"/>
            <w:tcBorders>
              <w:top w:val="nil"/>
              <w:left w:val="nil"/>
              <w:bottom w:val="nil"/>
              <w:right w:val="nil"/>
            </w:tcBorders>
            <w:shd w:val="clear" w:color="auto" w:fill="FFFFFF"/>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1403" w:type="dxa"/>
            <w:tcBorders>
              <w:top w:val="nil"/>
              <w:left w:val="nil"/>
              <w:bottom w:val="nil"/>
              <w:right w:val="nil"/>
            </w:tcBorders>
            <w:shd w:val="clear" w:color="auto" w:fill="FFFFFF"/>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771" w:type="dxa"/>
            <w:tcBorders>
              <w:top w:val="nil"/>
              <w:left w:val="nil"/>
              <w:bottom w:val="nil"/>
              <w:right w:val="nil"/>
            </w:tcBorders>
            <w:shd w:val="clear" w:color="auto" w:fill="FFFFFF"/>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834" w:type="dxa"/>
            <w:tcBorders>
              <w:top w:val="nil"/>
              <w:left w:val="nil"/>
              <w:bottom w:val="nil"/>
              <w:right w:val="nil"/>
            </w:tcBorders>
            <w:shd w:val="clear" w:color="auto" w:fill="FFFFFF"/>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2587" w:type="dxa"/>
            <w:gridSpan w:val="2"/>
            <w:tcBorders>
              <w:top w:val="nil"/>
              <w:left w:val="nil"/>
              <w:bottom w:val="nil"/>
              <w:right w:val="nil"/>
            </w:tcBorders>
            <w:shd w:val="clear" w:color="auto" w:fill="FFFFFF"/>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p>
            <w:pPr>
              <w:widowControl/>
              <w:ind w:right="97"/>
              <w:jc w:val="right"/>
              <w:rPr>
                <w:rFonts w:ascii="宋体" w:hAnsi="宋体" w:eastAsia="宋体" w:cs="宋体"/>
                <w:color w:val="000000"/>
                <w:kern w:val="0"/>
                <w:sz w:val="20"/>
              </w:rPr>
            </w:pPr>
            <w:r>
              <w:rPr>
                <w:rFonts w:hint="eastAsia" w:ascii="宋体" w:hAnsi="宋体" w:eastAsia="宋体" w:cs="宋体"/>
                <w:color w:val="000000"/>
                <w:kern w:val="0"/>
                <w:sz w:val="20"/>
              </w:rPr>
              <w:t>公开06表</w:t>
            </w:r>
          </w:p>
        </w:tc>
      </w:tr>
      <w:tr>
        <w:tblPrEx>
          <w:tblLayout w:type="fixed"/>
          <w:tblCellMar>
            <w:top w:w="0" w:type="dxa"/>
            <w:left w:w="108" w:type="dxa"/>
            <w:bottom w:w="0" w:type="dxa"/>
            <w:right w:w="108" w:type="dxa"/>
          </w:tblCellMar>
        </w:tblPrEx>
        <w:trPr>
          <w:gridAfter w:val="1"/>
          <w:wAfter w:w="469" w:type="dxa"/>
          <w:trHeight w:val="240" w:hRule="atLeast"/>
        </w:trPr>
        <w:tc>
          <w:tcPr>
            <w:tcW w:w="4123" w:type="dxa"/>
            <w:gridSpan w:val="4"/>
            <w:tcBorders>
              <w:top w:val="nil"/>
              <w:left w:val="nil"/>
              <w:bottom w:val="nil"/>
              <w:right w:val="nil"/>
            </w:tcBorders>
            <w:vAlign w:val="center"/>
          </w:tcPr>
          <w:p>
            <w:pPr>
              <w:widowControl/>
              <w:jc w:val="left"/>
              <w:rPr>
                <w:rFonts w:ascii="Arial" w:hAnsi="Arial" w:eastAsia="宋体" w:cs="Arial"/>
                <w:color w:val="000000"/>
                <w:kern w:val="0"/>
                <w:sz w:val="20"/>
              </w:rPr>
            </w:pPr>
            <w:r>
              <w:rPr>
                <w:rFonts w:ascii="Arial" w:hAnsi="Arial" w:eastAsia="宋体" w:cs="Arial"/>
                <w:color w:val="000000"/>
                <w:kern w:val="0"/>
                <w:sz w:val="20"/>
              </w:rPr>
              <w:t>部门：</w:t>
            </w:r>
            <w:r>
              <w:rPr>
                <w:rFonts w:hint="eastAsia" w:ascii="宋体" w:hAnsi="宋体" w:eastAsia="宋体" w:cs="宋体"/>
                <w:color w:val="000000"/>
                <w:kern w:val="0"/>
                <w:sz w:val="20"/>
                <w:lang w:eastAsia="zh-CN"/>
              </w:rPr>
              <w:t>黄山市住房公积金管理中心</w:t>
            </w:r>
            <w:r>
              <w:rPr>
                <w:rFonts w:hint="eastAsia" w:ascii="宋体" w:hAnsi="宋体" w:eastAsia="宋体" w:cs="宋体"/>
                <w:kern w:val="0"/>
                <w:sz w:val="20"/>
              </w:rPr>
              <w:t xml:space="preserve">  </w:t>
            </w:r>
          </w:p>
        </w:tc>
        <w:tc>
          <w:tcPr>
            <w:tcW w:w="1403" w:type="dxa"/>
            <w:tcBorders>
              <w:top w:val="nil"/>
              <w:left w:val="nil"/>
              <w:bottom w:val="nil"/>
              <w:right w:val="nil"/>
            </w:tcBorders>
            <w:vAlign w:val="center"/>
          </w:tcPr>
          <w:p>
            <w:pPr>
              <w:widowControl/>
              <w:jc w:val="left"/>
              <w:rPr>
                <w:rFonts w:ascii="Arial" w:hAnsi="Arial" w:eastAsia="宋体" w:cs="Arial"/>
                <w:color w:val="000000"/>
                <w:kern w:val="0"/>
                <w:sz w:val="20"/>
              </w:rPr>
            </w:pPr>
          </w:p>
        </w:tc>
        <w:tc>
          <w:tcPr>
            <w:tcW w:w="771" w:type="dxa"/>
            <w:tcBorders>
              <w:top w:val="nil"/>
              <w:left w:val="nil"/>
              <w:bottom w:val="nil"/>
              <w:right w:val="nil"/>
            </w:tcBorders>
            <w:vAlign w:val="center"/>
          </w:tcPr>
          <w:p>
            <w:pPr>
              <w:widowControl/>
              <w:jc w:val="left"/>
              <w:rPr>
                <w:rFonts w:ascii="Arial" w:hAnsi="Arial" w:eastAsia="宋体" w:cs="Arial"/>
                <w:color w:val="000000"/>
                <w:kern w:val="0"/>
                <w:sz w:val="20"/>
              </w:rPr>
            </w:pPr>
          </w:p>
        </w:tc>
        <w:tc>
          <w:tcPr>
            <w:tcW w:w="834" w:type="dxa"/>
            <w:tcBorders>
              <w:top w:val="nil"/>
              <w:left w:val="nil"/>
              <w:bottom w:val="nil"/>
              <w:right w:val="nil"/>
            </w:tcBorders>
            <w:vAlign w:val="center"/>
          </w:tcPr>
          <w:p>
            <w:pPr>
              <w:widowControl/>
              <w:jc w:val="left"/>
              <w:rPr>
                <w:rFonts w:ascii="Arial" w:hAnsi="Arial" w:eastAsia="宋体" w:cs="Arial"/>
                <w:color w:val="000000"/>
                <w:kern w:val="0"/>
                <w:sz w:val="20"/>
              </w:rPr>
            </w:pPr>
          </w:p>
        </w:tc>
        <w:tc>
          <w:tcPr>
            <w:tcW w:w="2587" w:type="dxa"/>
            <w:gridSpan w:val="2"/>
            <w:tcBorders>
              <w:top w:val="nil"/>
              <w:left w:val="nil"/>
              <w:bottom w:val="nil"/>
              <w:right w:val="nil"/>
            </w:tcBorders>
            <w:vAlign w:val="center"/>
          </w:tcPr>
          <w:p>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金额单位：万元</w:t>
            </w:r>
          </w:p>
        </w:tc>
      </w:tr>
      <w:tr>
        <w:tblPrEx>
          <w:tblLayout w:type="fixed"/>
          <w:tblCellMar>
            <w:top w:w="0" w:type="dxa"/>
            <w:left w:w="108" w:type="dxa"/>
            <w:bottom w:w="0" w:type="dxa"/>
            <w:right w:w="108" w:type="dxa"/>
          </w:tblCellMar>
        </w:tblPrEx>
        <w:trPr>
          <w:gridAfter w:val="1"/>
          <w:wAfter w:w="469" w:type="dxa"/>
          <w:trHeight w:val="495" w:hRule="atLeast"/>
        </w:trPr>
        <w:tc>
          <w:tcPr>
            <w:tcW w:w="84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0"/>
              </w:rPr>
            </w:pPr>
            <w:r>
              <w:rPr>
                <w:rFonts w:hint="eastAsia" w:ascii="宋体" w:hAnsi="宋体" w:eastAsia="宋体" w:cs="宋体"/>
                <w:color w:val="auto"/>
                <w:kern w:val="0"/>
                <w:sz w:val="20"/>
                <w:lang w:eastAsia="zh-CN"/>
              </w:rPr>
              <w:t>经济分类</w:t>
            </w:r>
            <w:r>
              <w:rPr>
                <w:rFonts w:hint="eastAsia" w:ascii="宋体" w:hAnsi="宋体" w:eastAsia="宋体" w:cs="宋体"/>
                <w:color w:val="auto"/>
                <w:kern w:val="0"/>
                <w:sz w:val="20"/>
              </w:rPr>
              <w:t>科目编码</w:t>
            </w:r>
          </w:p>
        </w:tc>
        <w:tc>
          <w:tcPr>
            <w:tcW w:w="1605"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0"/>
              </w:rPr>
            </w:pPr>
            <w:r>
              <w:rPr>
                <w:rFonts w:hint="eastAsia" w:ascii="宋体" w:hAnsi="宋体" w:eastAsia="宋体" w:cs="宋体"/>
                <w:color w:val="auto"/>
                <w:kern w:val="0"/>
                <w:sz w:val="20"/>
              </w:rPr>
              <w:t>科目名称</w:t>
            </w:r>
          </w:p>
        </w:tc>
        <w:tc>
          <w:tcPr>
            <w:tcW w:w="840"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0"/>
              </w:rPr>
            </w:pPr>
            <w:r>
              <w:rPr>
                <w:rFonts w:hint="eastAsia" w:ascii="宋体" w:hAnsi="宋体" w:eastAsia="宋体" w:cs="宋体"/>
                <w:color w:val="auto"/>
                <w:kern w:val="0"/>
                <w:sz w:val="20"/>
              </w:rPr>
              <w:t>决算数</w:t>
            </w:r>
          </w:p>
        </w:tc>
        <w:tc>
          <w:tcPr>
            <w:tcW w:w="832"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0"/>
              </w:rPr>
            </w:pPr>
            <w:r>
              <w:rPr>
                <w:rFonts w:hint="eastAsia" w:ascii="宋体" w:hAnsi="宋体" w:eastAsia="宋体" w:cs="宋体"/>
                <w:color w:val="auto"/>
                <w:kern w:val="0"/>
                <w:sz w:val="20"/>
                <w:lang w:eastAsia="zh-CN"/>
              </w:rPr>
              <w:t>经济分类</w:t>
            </w:r>
            <w:r>
              <w:rPr>
                <w:rFonts w:hint="eastAsia" w:ascii="宋体" w:hAnsi="宋体" w:eastAsia="宋体" w:cs="宋体"/>
                <w:color w:val="auto"/>
                <w:kern w:val="0"/>
                <w:sz w:val="20"/>
              </w:rPr>
              <w:t>科目编码</w:t>
            </w:r>
          </w:p>
        </w:tc>
        <w:tc>
          <w:tcPr>
            <w:tcW w:w="1403"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0"/>
              </w:rPr>
            </w:pPr>
            <w:r>
              <w:rPr>
                <w:rFonts w:hint="eastAsia" w:ascii="宋体" w:hAnsi="宋体" w:eastAsia="宋体" w:cs="宋体"/>
                <w:color w:val="auto"/>
                <w:kern w:val="0"/>
                <w:sz w:val="20"/>
              </w:rPr>
              <w:t>科目名称</w:t>
            </w:r>
          </w:p>
        </w:tc>
        <w:tc>
          <w:tcPr>
            <w:tcW w:w="771"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0"/>
              </w:rPr>
            </w:pPr>
            <w:r>
              <w:rPr>
                <w:rFonts w:hint="eastAsia" w:ascii="宋体" w:hAnsi="宋体" w:eastAsia="宋体" w:cs="宋体"/>
                <w:color w:val="auto"/>
                <w:kern w:val="0"/>
                <w:sz w:val="20"/>
              </w:rPr>
              <w:t>决算数</w:t>
            </w:r>
          </w:p>
        </w:tc>
        <w:tc>
          <w:tcPr>
            <w:tcW w:w="834"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auto"/>
                <w:kern w:val="0"/>
                <w:sz w:val="20"/>
              </w:rPr>
            </w:pPr>
            <w:r>
              <w:rPr>
                <w:rFonts w:hint="eastAsia" w:ascii="宋体" w:hAnsi="宋体" w:eastAsia="宋体" w:cs="宋体"/>
                <w:color w:val="auto"/>
                <w:kern w:val="0"/>
                <w:sz w:val="20"/>
                <w:lang w:eastAsia="zh-CN"/>
              </w:rPr>
              <w:t>经济分类</w:t>
            </w:r>
            <w:r>
              <w:rPr>
                <w:rFonts w:hint="eastAsia" w:ascii="宋体" w:hAnsi="宋体" w:eastAsia="宋体" w:cs="宋体"/>
                <w:color w:val="auto"/>
                <w:kern w:val="0"/>
                <w:sz w:val="20"/>
              </w:rPr>
              <w:t>科目编码</w:t>
            </w:r>
          </w:p>
        </w:tc>
        <w:tc>
          <w:tcPr>
            <w:tcW w:w="1665"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科目名称</w:t>
            </w:r>
          </w:p>
        </w:tc>
        <w:tc>
          <w:tcPr>
            <w:tcW w:w="922" w:type="dxa"/>
            <w:tcBorders>
              <w:top w:val="single" w:color="auto" w:sz="8" w:space="0"/>
              <w:left w:val="nil"/>
              <w:bottom w:val="single" w:color="auto" w:sz="4" w:space="0"/>
              <w:right w:val="single" w:color="auto" w:sz="8" w:space="0"/>
            </w:tcBorders>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决算数</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工资福利支出</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936.12</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商品和服务支出</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72.89</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债务利息及费用支出</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30101</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基本工资</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165.61</w:t>
            </w: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30201</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办公费</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16.51</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30701</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国内债务付息</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30102</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津贴补贴</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309.16</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30202</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印刷费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30702</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国外债务付息</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30103</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奖金</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244.29</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30203</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咨询费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30703</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国内债务发行费用</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30106</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伙食补助费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30204</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手续费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30704</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国外债务发行费用</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30107</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绩效工资</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30205</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水费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资本性支出</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30108</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机关事业单位基本养老保险费</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70.79</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30206</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电费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31001</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房屋建筑物购建</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30109</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职业年金缴费</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35.40</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30207</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邮电费</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5.33</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31002</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办公设备购置</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30110</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职工基本医疗保险缴费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30208</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取暖费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31003</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专用设备购置</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30111</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公务员医疗补助缴费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30209</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物业管理费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31005</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基础设施建设</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30112</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其他社会保障缴费</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37.88</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30211</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差旅费</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7.79</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31006</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大型修缮</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30113</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住房公积金</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73.00</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30212</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因公出国（境）费用</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31007</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信息网络及软件购置更新</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30114</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30213</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维修（护）费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31008</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物资储备</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30199</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其他工资福利支出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30214</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租赁费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31009</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土地补偿</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对个人和家庭的补助</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0.58</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30215</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会议费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31010</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安置补助</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30301</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离休费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30216</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培训费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31011</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地上附着物和青苗补偿</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30302</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退休费</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0.30</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30217</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w:t>
            </w:r>
            <w:r>
              <w:rPr>
                <w:rFonts w:hint="eastAsia" w:ascii="宋体" w:hAnsi="宋体" w:eastAsia="宋体" w:cs="宋体"/>
                <w:color w:val="000000"/>
                <w:kern w:val="0"/>
                <w:sz w:val="18"/>
                <w:szCs w:val="18"/>
                <w:lang w:eastAsia="zh-CN"/>
              </w:rPr>
              <w:t>接</w:t>
            </w:r>
            <w:r>
              <w:rPr>
                <w:rFonts w:hint="eastAsia" w:ascii="宋体" w:hAnsi="宋体" w:eastAsia="宋体" w:cs="宋体"/>
                <w:color w:val="000000"/>
                <w:kern w:val="0"/>
                <w:sz w:val="18"/>
                <w:szCs w:val="18"/>
              </w:rPr>
              <w:t>待费</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0.43</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31012</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拆迁补偿</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30303</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退职（役）费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30218</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专用材料费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31013</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公务用车购置</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30304</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抚恤金</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30224</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被装购置费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31019</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其他交通工具购置</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30305</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生活补助</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30225</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专用燃料费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31021</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文物和陈列品购置</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30306</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救济费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30226</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劳务费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31022</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无形资产购置</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30307</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医疗费补助</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30227</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委托业务费</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31099</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其他资本性支出</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30308</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助学金</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30228</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工会经费</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27.00</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312</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对企业补助</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30309</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奖励金</w:t>
            </w:r>
          </w:p>
        </w:tc>
        <w:tc>
          <w:tcPr>
            <w:tcW w:w="840"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0.28</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30229</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福利费</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9.55</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31201</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资本金注入</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30310</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个人农业生产补贴</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30231</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公务用车运行维护费</w:t>
            </w:r>
          </w:p>
        </w:tc>
        <w:tc>
          <w:tcPr>
            <w:tcW w:w="771"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6.28</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31203</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政府投资基金股权投资</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30311</w:t>
            </w:r>
          </w:p>
        </w:tc>
        <w:tc>
          <w:tcPr>
            <w:tcW w:w="160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代缴社会保险费</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30239</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其他交通费用</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31204</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费用补贴</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538"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30399</w:t>
            </w:r>
          </w:p>
        </w:tc>
        <w:tc>
          <w:tcPr>
            <w:tcW w:w="160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其他对个人和家庭的补助支出</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30240</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税金及附加费用</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31205</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利息补贴</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30299</w:t>
            </w: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其他商品和服务支出</w:t>
            </w: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31299</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其他对企业补助</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其他支出</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39906</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赠与</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39907</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国家赔偿费用支出</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846" w:type="dxa"/>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60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39908</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对民间非营利组织和群众性自治组织补贴</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trHeight w:val="222" w:hRule="atLeast"/>
        </w:trPr>
        <w:tc>
          <w:tcPr>
            <w:tcW w:w="2451"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4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140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771"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834"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39999</w:t>
            </w:r>
          </w:p>
        </w:tc>
        <w:tc>
          <w:tcPr>
            <w:tcW w:w="1665"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其他支出</w:t>
            </w:r>
          </w:p>
        </w:tc>
        <w:tc>
          <w:tcPr>
            <w:tcW w:w="922" w:type="dxa"/>
            <w:tcBorders>
              <w:top w:val="nil"/>
              <w:left w:val="nil"/>
              <w:bottom w:val="single" w:color="auto" w:sz="4" w:space="0"/>
              <w:right w:val="single" w:color="auto" w:sz="8" w:space="0"/>
            </w:tcBorders>
            <w:vAlign w:val="center"/>
          </w:tcPr>
          <w:p>
            <w:pPr>
              <w:widowControl/>
              <w:jc w:val="left"/>
              <w:rPr>
                <w:rFonts w:ascii="宋体" w:hAnsi="宋体" w:eastAsia="宋体" w:cs="宋体"/>
                <w:color w:val="000000"/>
                <w:kern w:val="0"/>
                <w:sz w:val="18"/>
                <w:szCs w:val="18"/>
              </w:rPr>
            </w:pPr>
          </w:p>
        </w:tc>
        <w:tc>
          <w:tcPr>
            <w:tcW w:w="469" w:type="dxa"/>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tblPrEx>
          <w:tblLayout w:type="fixed"/>
          <w:tblCellMar>
            <w:top w:w="0" w:type="dxa"/>
            <w:left w:w="108" w:type="dxa"/>
            <w:bottom w:w="0" w:type="dxa"/>
            <w:right w:w="108" w:type="dxa"/>
          </w:tblCellMar>
        </w:tblPrEx>
        <w:trPr>
          <w:gridAfter w:val="1"/>
          <w:wAfter w:w="469" w:type="dxa"/>
          <w:trHeight w:val="222" w:hRule="atLeast"/>
        </w:trPr>
        <w:tc>
          <w:tcPr>
            <w:tcW w:w="2451"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人员经费合计</w:t>
            </w:r>
          </w:p>
        </w:tc>
        <w:tc>
          <w:tcPr>
            <w:tcW w:w="840" w:type="dxa"/>
            <w:tcBorders>
              <w:top w:val="nil"/>
              <w:left w:val="nil"/>
              <w:bottom w:val="single" w:color="auto" w:sz="8" w:space="0"/>
              <w:right w:val="single" w:color="auto" w:sz="4" w:space="0"/>
            </w:tcBorders>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936.70</w:t>
            </w:r>
            <w:r>
              <w:rPr>
                <w:rFonts w:hint="eastAsia" w:ascii="宋体" w:hAnsi="宋体" w:eastAsia="宋体" w:cs="宋体"/>
                <w:color w:val="000000"/>
                <w:kern w:val="0"/>
                <w:sz w:val="18"/>
                <w:szCs w:val="18"/>
              </w:rPr>
              <w:t>　</w:t>
            </w:r>
          </w:p>
        </w:tc>
        <w:tc>
          <w:tcPr>
            <w:tcW w:w="5505" w:type="dxa"/>
            <w:gridSpan w:val="5"/>
            <w:tcBorders>
              <w:top w:val="single" w:color="auto" w:sz="4" w:space="0"/>
              <w:left w:val="nil"/>
              <w:bottom w:val="single" w:color="auto" w:sz="8"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公用经费合计</w:t>
            </w:r>
          </w:p>
        </w:tc>
        <w:tc>
          <w:tcPr>
            <w:tcW w:w="922" w:type="dxa"/>
            <w:tcBorders>
              <w:top w:val="nil"/>
              <w:left w:val="nil"/>
              <w:bottom w:val="single" w:color="auto" w:sz="8" w:space="0"/>
              <w:right w:val="single" w:color="auto" w:sz="8" w:space="0"/>
            </w:tcBorders>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val="en-US" w:eastAsia="zh-CN"/>
              </w:rPr>
              <w:t>72.89</w:t>
            </w:r>
          </w:p>
        </w:tc>
      </w:tr>
    </w:tbl>
    <w:p>
      <w:pPr>
        <w:rPr>
          <w:rFonts w:hint="eastAsia" w:ascii="黑体" w:hAnsi="黑体" w:eastAsia="黑体"/>
          <w:szCs w:val="32"/>
        </w:rPr>
      </w:pPr>
    </w:p>
    <w:p>
      <w:pPr>
        <w:jc w:val="both"/>
        <w:outlineLvl w:val="2"/>
        <w:rPr>
          <w:rFonts w:hint="eastAsia" w:ascii="黑体" w:hAnsi="黑体" w:eastAsia="黑体"/>
          <w:szCs w:val="32"/>
        </w:rPr>
      </w:pPr>
    </w:p>
    <w:p>
      <w:pPr>
        <w:jc w:val="right"/>
        <w:outlineLvl w:val="2"/>
        <w:rPr>
          <w:rFonts w:hint="eastAsia" w:ascii="黑体" w:hAnsi="黑体" w:eastAsia="黑体"/>
          <w:sz w:val="20"/>
        </w:rPr>
      </w:pPr>
      <w:r>
        <w:rPr>
          <w:rFonts w:hint="eastAsia" w:ascii="黑体" w:hAnsi="黑体" w:eastAsia="黑体"/>
          <w:szCs w:val="32"/>
        </w:rPr>
        <w:t>政府性基金预算财政拨款收入支出决算表</w:t>
      </w:r>
      <w:r>
        <w:rPr>
          <w:rFonts w:hint="eastAsia" w:ascii="黑体" w:hAnsi="黑体" w:eastAsia="黑体"/>
          <w:sz w:val="20"/>
        </w:rPr>
        <w:t xml:space="preserve">                                                                                  </w:t>
      </w:r>
      <w:r>
        <w:rPr>
          <w:rFonts w:hint="eastAsia" w:ascii="黑体" w:hAnsi="黑体" w:eastAsia="黑体"/>
          <w:sz w:val="20"/>
          <w:lang w:val="en-US" w:eastAsia="zh-CN"/>
        </w:rPr>
        <w:t xml:space="preserve">     </w:t>
      </w:r>
      <w:r>
        <w:rPr>
          <w:rFonts w:hint="eastAsia" w:ascii="宋体" w:hAnsi="宋体" w:eastAsia="宋体" w:cs="宋体"/>
          <w:color w:val="000000"/>
          <w:kern w:val="0"/>
          <w:sz w:val="20"/>
        </w:rPr>
        <w:t>公开07表</w:t>
      </w:r>
    </w:p>
    <w:tbl>
      <w:tblPr>
        <w:tblStyle w:val="5"/>
        <w:tblW w:w="9180" w:type="dxa"/>
        <w:tblInd w:w="91" w:type="dxa"/>
        <w:tblLayout w:type="fixed"/>
        <w:tblCellMar>
          <w:top w:w="0" w:type="dxa"/>
          <w:left w:w="108" w:type="dxa"/>
          <w:bottom w:w="0" w:type="dxa"/>
          <w:right w:w="108" w:type="dxa"/>
        </w:tblCellMar>
      </w:tblPr>
      <w:tblGrid>
        <w:gridCol w:w="430"/>
        <w:gridCol w:w="430"/>
        <w:gridCol w:w="430"/>
        <w:gridCol w:w="540"/>
        <w:gridCol w:w="460"/>
        <w:gridCol w:w="580"/>
        <w:gridCol w:w="640"/>
        <w:gridCol w:w="480"/>
        <w:gridCol w:w="430"/>
        <w:gridCol w:w="430"/>
        <w:gridCol w:w="430"/>
        <w:gridCol w:w="430"/>
        <w:gridCol w:w="430"/>
        <w:gridCol w:w="460"/>
        <w:gridCol w:w="820"/>
        <w:gridCol w:w="880"/>
        <w:gridCol w:w="880"/>
      </w:tblGrid>
      <w:tr>
        <w:tblPrEx>
          <w:tblLayout w:type="fixed"/>
          <w:tblCellMar>
            <w:top w:w="0" w:type="dxa"/>
            <w:left w:w="108" w:type="dxa"/>
            <w:bottom w:w="0" w:type="dxa"/>
            <w:right w:w="108" w:type="dxa"/>
          </w:tblCellMar>
        </w:tblPrEx>
        <w:trPr>
          <w:trHeight w:val="397" w:hRule="atLeast"/>
        </w:trPr>
        <w:tc>
          <w:tcPr>
            <w:tcW w:w="3510" w:type="dxa"/>
            <w:gridSpan w:val="7"/>
            <w:tcBorders>
              <w:top w:val="nil"/>
              <w:left w:val="nil"/>
              <w:bottom w:val="nil"/>
              <w:right w:val="nil"/>
            </w:tcBorders>
            <w:vAlign w:val="bottom"/>
          </w:tcPr>
          <w:p>
            <w:pPr>
              <w:widowControl/>
              <w:jc w:val="left"/>
              <w:rPr>
                <w:rFonts w:ascii="Arial" w:hAnsi="Arial" w:eastAsia="宋体" w:cs="Arial"/>
                <w:color w:val="000000"/>
                <w:kern w:val="0"/>
                <w:sz w:val="20"/>
              </w:rPr>
            </w:pPr>
            <w:r>
              <w:rPr>
                <w:rFonts w:hint="eastAsia" w:ascii="宋体" w:hAnsi="宋体" w:eastAsia="宋体" w:cs="Arial"/>
                <w:color w:val="000000"/>
                <w:kern w:val="0"/>
                <w:sz w:val="20"/>
              </w:rPr>
              <w:t>部门：</w:t>
            </w:r>
            <w:r>
              <w:rPr>
                <w:rFonts w:hint="eastAsia" w:ascii="宋体" w:hAnsi="宋体" w:eastAsia="宋体" w:cs="Arial"/>
                <w:color w:val="000000"/>
                <w:kern w:val="0"/>
                <w:sz w:val="20"/>
                <w:lang w:eastAsia="zh-CN"/>
              </w:rPr>
              <w:t>黄山市住房公积金管理中心</w:t>
            </w:r>
          </w:p>
        </w:tc>
        <w:tc>
          <w:tcPr>
            <w:tcW w:w="48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43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43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43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43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43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46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820" w:type="dxa"/>
            <w:tcBorders>
              <w:top w:val="nil"/>
              <w:left w:val="nil"/>
              <w:bottom w:val="nil"/>
              <w:right w:val="nil"/>
            </w:tcBorders>
            <w:vAlign w:val="bottom"/>
          </w:tcPr>
          <w:p>
            <w:pPr>
              <w:widowControl/>
              <w:jc w:val="left"/>
              <w:rPr>
                <w:rFonts w:ascii="Arial" w:hAnsi="Arial" w:eastAsia="宋体" w:cs="Arial"/>
                <w:color w:val="000000"/>
                <w:kern w:val="0"/>
                <w:sz w:val="20"/>
              </w:rPr>
            </w:pPr>
          </w:p>
        </w:tc>
        <w:tc>
          <w:tcPr>
            <w:tcW w:w="1760" w:type="dxa"/>
            <w:gridSpan w:val="2"/>
            <w:tcBorders>
              <w:top w:val="nil"/>
              <w:left w:val="nil"/>
              <w:bottom w:val="nil"/>
              <w:right w:val="nil"/>
            </w:tcBorders>
            <w:vAlign w:val="bottom"/>
          </w:tcPr>
          <w:p>
            <w:pPr>
              <w:widowControl/>
              <w:jc w:val="right"/>
              <w:rPr>
                <w:rFonts w:ascii="宋体" w:hAnsi="宋体" w:eastAsia="宋体" w:cs="Arial"/>
                <w:color w:val="000000"/>
                <w:kern w:val="0"/>
                <w:sz w:val="20"/>
              </w:rPr>
            </w:pPr>
            <w:r>
              <w:rPr>
                <w:rFonts w:hint="eastAsia" w:ascii="宋体" w:hAnsi="宋体" w:eastAsia="宋体" w:cs="Arial"/>
                <w:color w:val="000000"/>
                <w:kern w:val="0"/>
                <w:sz w:val="20"/>
              </w:rPr>
              <w:t>单位：万元</w:t>
            </w:r>
          </w:p>
        </w:tc>
      </w:tr>
      <w:tr>
        <w:tblPrEx>
          <w:tblLayout w:type="fixed"/>
          <w:tblCellMar>
            <w:top w:w="0" w:type="dxa"/>
            <w:left w:w="108" w:type="dxa"/>
            <w:bottom w:w="0" w:type="dxa"/>
            <w:right w:w="108" w:type="dxa"/>
          </w:tblCellMar>
        </w:tblPrEx>
        <w:trPr>
          <w:trHeight w:val="465" w:hRule="atLeast"/>
        </w:trPr>
        <w:tc>
          <w:tcPr>
            <w:tcW w:w="129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功能分类</w:t>
            </w:r>
          </w:p>
          <w:p>
            <w:pPr>
              <w:widowControl/>
              <w:jc w:val="center"/>
              <w:rPr>
                <w:rFonts w:ascii="宋体" w:hAnsi="宋体" w:eastAsia="宋体" w:cs="Arial"/>
                <w:color w:val="000000"/>
                <w:kern w:val="0"/>
                <w:sz w:val="22"/>
                <w:szCs w:val="22"/>
              </w:rPr>
            </w:pPr>
            <w:r>
              <w:rPr>
                <w:rFonts w:hint="eastAsia" w:ascii="宋体" w:hAnsi="宋体" w:eastAsia="宋体" w:cs="Arial"/>
                <w:color w:val="auto"/>
                <w:kern w:val="0"/>
                <w:sz w:val="22"/>
                <w:szCs w:val="22"/>
              </w:rPr>
              <w:t>科目编</w:t>
            </w:r>
            <w:r>
              <w:rPr>
                <w:rFonts w:hint="eastAsia" w:ascii="宋体" w:hAnsi="宋体" w:eastAsia="宋体" w:cs="Arial"/>
                <w:color w:val="000000"/>
                <w:kern w:val="0"/>
                <w:sz w:val="22"/>
                <w:szCs w:val="22"/>
              </w:rPr>
              <w:t>码</w:t>
            </w:r>
          </w:p>
        </w:tc>
        <w:tc>
          <w:tcPr>
            <w:tcW w:w="540" w:type="dxa"/>
            <w:vMerge w:val="restart"/>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科目名称</w:t>
            </w:r>
          </w:p>
        </w:tc>
        <w:tc>
          <w:tcPr>
            <w:tcW w:w="16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年初结转和结余</w:t>
            </w:r>
          </w:p>
        </w:tc>
        <w:tc>
          <w:tcPr>
            <w:tcW w:w="134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本年收入</w:t>
            </w:r>
          </w:p>
        </w:tc>
        <w:tc>
          <w:tcPr>
            <w:tcW w:w="129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本年支出</w:t>
            </w:r>
          </w:p>
        </w:tc>
        <w:tc>
          <w:tcPr>
            <w:tcW w:w="3040" w:type="dxa"/>
            <w:gridSpan w:val="4"/>
            <w:tcBorders>
              <w:top w:val="single" w:color="000000" w:sz="4" w:space="0"/>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615"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6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58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基本支出结转</w:t>
            </w:r>
          </w:p>
        </w:tc>
        <w:tc>
          <w:tcPr>
            <w:tcW w:w="64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项目支出结转和结余</w:t>
            </w:r>
          </w:p>
        </w:tc>
        <w:tc>
          <w:tcPr>
            <w:tcW w:w="48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43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43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c>
          <w:tcPr>
            <w:tcW w:w="43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43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43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c>
          <w:tcPr>
            <w:tcW w:w="46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82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基本支出结转</w:t>
            </w:r>
          </w:p>
        </w:tc>
        <w:tc>
          <w:tcPr>
            <w:tcW w:w="1760" w:type="dxa"/>
            <w:gridSpan w:val="2"/>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项目支出结转和结余</w:t>
            </w:r>
          </w:p>
        </w:tc>
      </w:tr>
      <w:tr>
        <w:tblPrEx>
          <w:tblLayout w:type="fixed"/>
          <w:tblCellMar>
            <w:top w:w="0" w:type="dxa"/>
            <w:left w:w="108" w:type="dxa"/>
            <w:bottom w:w="0" w:type="dxa"/>
            <w:right w:w="108" w:type="dxa"/>
          </w:tblCellMar>
        </w:tblPrEx>
        <w:trPr>
          <w:trHeight w:val="308"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88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项目支出结转</w:t>
            </w:r>
          </w:p>
        </w:tc>
        <w:tc>
          <w:tcPr>
            <w:tcW w:w="880" w:type="dxa"/>
            <w:vMerge w:val="restart"/>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项目支出结余</w:t>
            </w:r>
          </w:p>
        </w:tc>
      </w:tr>
      <w:tr>
        <w:tblPrEx>
          <w:tblLayout w:type="fixed"/>
          <w:tblCellMar>
            <w:top w:w="0" w:type="dxa"/>
            <w:left w:w="108" w:type="dxa"/>
            <w:bottom w:w="0" w:type="dxa"/>
            <w:right w:w="108" w:type="dxa"/>
          </w:tblCellMar>
        </w:tblPrEx>
        <w:trPr>
          <w:trHeight w:val="615" w:hRule="atLeast"/>
        </w:trPr>
        <w:tc>
          <w:tcPr>
            <w:tcW w:w="129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64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4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82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8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c>
          <w:tcPr>
            <w:tcW w:w="8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类</w:t>
            </w:r>
          </w:p>
        </w:tc>
        <w:tc>
          <w:tcPr>
            <w:tcW w:w="4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款</w:t>
            </w:r>
          </w:p>
        </w:tc>
        <w:tc>
          <w:tcPr>
            <w:tcW w:w="4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项</w:t>
            </w:r>
          </w:p>
        </w:tc>
        <w:tc>
          <w:tcPr>
            <w:tcW w:w="540" w:type="dxa"/>
            <w:tcBorders>
              <w:top w:val="nil"/>
              <w:left w:val="nil"/>
              <w:bottom w:val="single" w:color="000000" w:sz="4" w:space="0"/>
              <w:right w:val="single" w:color="000000" w:sz="4" w:space="0"/>
            </w:tcBorders>
            <w:vAlign w:val="center"/>
          </w:tcPr>
          <w:p>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46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58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64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48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46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82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88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c>
          <w:tcPr>
            <w:tcW w:w="880" w:type="dxa"/>
            <w:tcBorders>
              <w:top w:val="nil"/>
              <w:left w:val="nil"/>
              <w:bottom w:val="single" w:color="000000" w:sz="4" w:space="0"/>
              <w:right w:val="single" w:color="000000" w:sz="4" w:space="0"/>
            </w:tcBorders>
            <w:vAlign w:val="center"/>
          </w:tcPr>
          <w:p>
            <w:pPr>
              <w:widowControl/>
              <w:jc w:val="right"/>
              <w:rPr>
                <w:rFonts w:ascii="宋体" w:hAnsi="宋体" w:eastAsia="宋体" w:cs="Arial"/>
                <w:b/>
                <w:bCs/>
                <w:color w:val="000000"/>
                <w:kern w:val="0"/>
                <w:sz w:val="22"/>
                <w:szCs w:val="22"/>
              </w:rPr>
            </w:pPr>
            <w:r>
              <w:rPr>
                <w:rFonts w:hint="eastAsia" w:ascii="宋体" w:hAnsi="宋体" w:eastAsia="宋体" w:cs="Arial"/>
                <w:b/>
                <w:bCs/>
                <w:color w:val="000000"/>
                <w:kern w:val="0"/>
                <w:sz w:val="22"/>
                <w:szCs w:val="22"/>
              </w:rPr>
              <w:t>　</w:t>
            </w:r>
          </w:p>
        </w:tc>
      </w:tr>
      <w:tr>
        <w:tblPrEx>
          <w:tblLayout w:type="fixed"/>
          <w:tblCellMar>
            <w:top w:w="0" w:type="dxa"/>
            <w:left w:w="108" w:type="dxa"/>
            <w:bottom w:w="0" w:type="dxa"/>
            <w:right w:w="108" w:type="dxa"/>
          </w:tblCellMar>
        </w:tblPrEx>
        <w:trPr>
          <w:trHeight w:val="410" w:hRule="atLeast"/>
        </w:trPr>
        <w:tc>
          <w:tcPr>
            <w:tcW w:w="1290"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40" w:type="dxa"/>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6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64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6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82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8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8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r>
      <w:tr>
        <w:tblPrEx>
          <w:tblLayout w:type="fixed"/>
          <w:tblCellMar>
            <w:top w:w="0" w:type="dxa"/>
            <w:left w:w="108" w:type="dxa"/>
            <w:bottom w:w="0" w:type="dxa"/>
            <w:right w:w="108" w:type="dxa"/>
          </w:tblCellMar>
        </w:tblPrEx>
        <w:trPr>
          <w:trHeight w:val="380" w:hRule="atLeast"/>
        </w:trPr>
        <w:tc>
          <w:tcPr>
            <w:tcW w:w="1290" w:type="dxa"/>
            <w:gridSpan w:val="3"/>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40" w:type="dxa"/>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6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5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64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3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46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82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8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c>
          <w:tcPr>
            <w:tcW w:w="880" w:type="dxa"/>
            <w:tcBorders>
              <w:top w:val="nil"/>
              <w:left w:val="nil"/>
              <w:bottom w:val="single" w:color="000000" w:sz="4" w:space="0"/>
              <w:right w:val="single" w:color="000000" w:sz="4" w:space="0"/>
            </w:tcBorders>
            <w:vAlign w:val="center"/>
          </w:tcPr>
          <w:p>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　</w:t>
            </w:r>
          </w:p>
        </w:tc>
      </w:tr>
    </w:tbl>
    <w:p>
      <w:pPr>
        <w:jc w:val="both"/>
        <w:rPr>
          <w:rFonts w:hint="eastAsia" w:ascii="黑体" w:hAnsi="黑体" w:eastAsia="黑体"/>
          <w:color w:val="000000" w:themeColor="text1"/>
          <w:sz w:val="28"/>
          <w:szCs w:val="28"/>
          <w14:textFill>
            <w14:solidFill>
              <w14:schemeClr w14:val="tx1"/>
            </w14:solidFill>
          </w14:textFill>
        </w:rPr>
      </w:pPr>
      <w:r>
        <w:rPr>
          <w:rFonts w:hint="eastAsia" w:ascii="楷体_GB2312" w:hAnsi="仿宋" w:eastAsia="楷体_GB2312"/>
          <w:color w:val="000000" w:themeColor="text1"/>
          <w:sz w:val="28"/>
          <w:szCs w:val="28"/>
          <w:lang w:eastAsia="zh-CN"/>
          <w14:textFill>
            <w14:solidFill>
              <w14:schemeClr w14:val="tx1"/>
            </w14:solidFill>
          </w14:textFill>
        </w:rPr>
        <w:t>黄山市住房公积金管理中心</w:t>
      </w:r>
      <w:r>
        <w:rPr>
          <w:rFonts w:hint="eastAsia" w:ascii="楷体_GB2312" w:hAnsi="仿宋" w:eastAsia="楷体_GB2312"/>
          <w:color w:val="000000" w:themeColor="text1"/>
          <w:sz w:val="28"/>
          <w:szCs w:val="28"/>
          <w14:textFill>
            <w14:solidFill>
              <w14:schemeClr w14:val="tx1"/>
            </w14:solidFill>
          </w14:textFill>
        </w:rPr>
        <w:t>没有政府性基金收入，也没有使用政府</w:t>
      </w:r>
      <w:r>
        <w:rPr>
          <w:rFonts w:hint="eastAsia" w:ascii="楷体_GB2312" w:hAnsi="仿宋" w:eastAsia="楷体_GB2312"/>
          <w:color w:val="000000" w:themeColor="text1"/>
          <w:sz w:val="28"/>
          <w:szCs w:val="28"/>
          <w:lang w:eastAsia="zh-CN"/>
          <w14:textFill>
            <w14:solidFill>
              <w14:schemeClr w14:val="tx1"/>
            </w14:solidFill>
          </w14:textFill>
        </w:rPr>
        <w:t>性</w:t>
      </w:r>
      <w:r>
        <w:rPr>
          <w:rFonts w:hint="eastAsia" w:ascii="楷体_GB2312" w:hAnsi="仿宋" w:eastAsia="楷体_GB2312"/>
          <w:color w:val="000000" w:themeColor="text1"/>
          <w:sz w:val="28"/>
          <w:szCs w:val="28"/>
          <w14:textFill>
            <w14:solidFill>
              <w14:schemeClr w14:val="tx1"/>
            </w14:solidFill>
          </w14:textFill>
        </w:rPr>
        <w:t>基金安排的支出，故本表无数据</w:t>
      </w:r>
    </w:p>
    <w:p>
      <w:pPr>
        <w:jc w:val="center"/>
        <w:outlineLvl w:val="2"/>
        <w:rPr>
          <w:rFonts w:hint="eastAsia" w:ascii="黑体" w:hAnsi="黑体" w:eastAsia="黑体"/>
          <w:szCs w:val="32"/>
        </w:rPr>
      </w:pPr>
      <w:r>
        <w:rPr>
          <w:rFonts w:hint="eastAsia" w:ascii="黑体" w:hAnsi="黑体" w:eastAsia="黑体"/>
          <w:szCs w:val="32"/>
        </w:rPr>
        <w:t>国有资本经营预算财政拨款支出决算表</w:t>
      </w:r>
    </w:p>
    <w:tbl>
      <w:tblPr>
        <w:tblStyle w:val="5"/>
        <w:tblW w:w="8779" w:type="dxa"/>
        <w:tblInd w:w="91" w:type="dxa"/>
        <w:tblLayout w:type="fixed"/>
        <w:tblCellMar>
          <w:top w:w="15" w:type="dxa"/>
          <w:left w:w="108" w:type="dxa"/>
          <w:bottom w:w="15" w:type="dxa"/>
          <w:right w:w="108" w:type="dxa"/>
        </w:tblCellMar>
      </w:tblPr>
      <w:tblGrid>
        <w:gridCol w:w="573"/>
        <w:gridCol w:w="573"/>
        <w:gridCol w:w="574"/>
        <w:gridCol w:w="1425"/>
        <w:gridCol w:w="1243"/>
        <w:gridCol w:w="9"/>
        <w:gridCol w:w="2185"/>
        <w:gridCol w:w="6"/>
        <w:gridCol w:w="2191"/>
      </w:tblGrid>
      <w:tr>
        <w:tblPrEx>
          <w:tblLayout w:type="fixed"/>
          <w:tblCellMar>
            <w:top w:w="15" w:type="dxa"/>
            <w:left w:w="108" w:type="dxa"/>
            <w:bottom w:w="15" w:type="dxa"/>
            <w:right w:w="108" w:type="dxa"/>
          </w:tblCellMar>
        </w:tblPrEx>
        <w:trPr>
          <w:trHeight w:val="170" w:hRule="atLeast"/>
        </w:trPr>
        <w:tc>
          <w:tcPr>
            <w:tcW w:w="8779" w:type="dxa"/>
            <w:gridSpan w:val="9"/>
            <w:vAlign w:val="bottom"/>
          </w:tcPr>
          <w:p>
            <w:pPr>
              <w:widowControl/>
              <w:jc w:val="center"/>
              <w:rPr>
                <w:rFonts w:hint="eastAsia"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 xml:space="preserve">                                                          </w:t>
            </w:r>
            <w:r>
              <w:rPr>
                <w:rFonts w:hint="eastAsia" w:ascii="宋体" w:hAnsi="宋体" w:eastAsia="宋体" w:cs="Arial"/>
                <w:color w:val="000000"/>
                <w:kern w:val="0"/>
                <w:sz w:val="20"/>
                <w:szCs w:val="20"/>
              </w:rPr>
              <w:t>公开08表</w:t>
            </w:r>
          </w:p>
        </w:tc>
      </w:tr>
      <w:tr>
        <w:tblPrEx>
          <w:tblLayout w:type="fixed"/>
          <w:tblCellMar>
            <w:top w:w="15" w:type="dxa"/>
            <w:left w:w="108" w:type="dxa"/>
            <w:bottom w:w="15" w:type="dxa"/>
            <w:right w:w="108" w:type="dxa"/>
          </w:tblCellMar>
        </w:tblPrEx>
        <w:trPr>
          <w:trHeight w:val="170" w:hRule="atLeast"/>
        </w:trPr>
        <w:tc>
          <w:tcPr>
            <w:tcW w:w="4388" w:type="dxa"/>
            <w:gridSpan w:val="5"/>
            <w:tcBorders>
              <w:bottom w:val="single" w:color="auto" w:sz="4" w:space="0"/>
            </w:tcBorders>
            <w:vAlign w:val="center"/>
          </w:tcPr>
          <w:p>
            <w:pPr>
              <w:widowControl/>
              <w:jc w:val="both"/>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部门：</w:t>
            </w:r>
            <w:r>
              <w:rPr>
                <w:rFonts w:hint="eastAsia" w:ascii="宋体" w:hAnsi="宋体" w:eastAsia="宋体" w:cs="Arial"/>
                <w:color w:val="000000"/>
                <w:kern w:val="0"/>
                <w:sz w:val="20"/>
                <w:szCs w:val="20"/>
                <w:lang w:eastAsia="zh-CN"/>
              </w:rPr>
              <w:t>黄山市住房公积金管理中心</w:t>
            </w:r>
            <w:r>
              <w:rPr>
                <w:rFonts w:hint="eastAsia" w:ascii="宋体" w:hAnsi="宋体" w:eastAsia="宋体" w:cs="Arial"/>
                <w:color w:val="000000"/>
                <w:kern w:val="0"/>
                <w:sz w:val="20"/>
                <w:szCs w:val="20"/>
              </w:rPr>
              <w:t xml:space="preserve">                                                          </w:t>
            </w:r>
          </w:p>
        </w:tc>
        <w:tc>
          <w:tcPr>
            <w:tcW w:w="2194" w:type="dxa"/>
            <w:gridSpan w:val="2"/>
            <w:tcBorders>
              <w:bottom w:val="single" w:color="auto" w:sz="4" w:space="0"/>
            </w:tcBorders>
            <w:vAlign w:val="center"/>
          </w:tcPr>
          <w:p>
            <w:pPr>
              <w:widowControl/>
              <w:jc w:val="both"/>
              <w:rPr>
                <w:rFonts w:hint="eastAsia" w:ascii="宋体" w:hAnsi="宋体" w:eastAsia="宋体" w:cs="Arial"/>
                <w:color w:val="000000"/>
                <w:kern w:val="0"/>
                <w:sz w:val="20"/>
                <w:szCs w:val="20"/>
              </w:rPr>
            </w:pPr>
          </w:p>
        </w:tc>
        <w:tc>
          <w:tcPr>
            <w:tcW w:w="2197" w:type="dxa"/>
            <w:gridSpan w:val="2"/>
            <w:tcBorders>
              <w:bottom w:val="single" w:color="auto" w:sz="4" w:space="0"/>
            </w:tcBorders>
            <w:vAlign w:val="center"/>
          </w:tcPr>
          <w:p>
            <w:pPr>
              <w:widowControl/>
              <w:ind w:firstLine="400" w:firstLineChars="200"/>
              <w:jc w:val="both"/>
              <w:rPr>
                <w:rFonts w:hint="eastAsia"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Layout w:type="fixed"/>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eastAsia="宋体" w:cs="Arial"/>
                <w:color w:val="000000"/>
                <w:kern w:val="0"/>
                <w:sz w:val="22"/>
                <w:szCs w:val="22"/>
                <w:lang w:eastAsia="zh-CN"/>
              </w:rPr>
              <w:t>功能分类</w:t>
            </w:r>
          </w:p>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科目编码</w:t>
            </w:r>
          </w:p>
        </w:tc>
        <w:tc>
          <w:tcPr>
            <w:tcW w:w="14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科目名称</w:t>
            </w:r>
          </w:p>
        </w:tc>
        <w:tc>
          <w:tcPr>
            <w:tcW w:w="563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本年支出</w:t>
            </w:r>
          </w:p>
        </w:tc>
      </w:tr>
      <w:tr>
        <w:tblPrEx>
          <w:tblLayout w:type="fixed"/>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25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219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基本支出</w:t>
            </w:r>
          </w:p>
        </w:tc>
        <w:tc>
          <w:tcPr>
            <w:tcW w:w="21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项目支出</w:t>
            </w:r>
          </w:p>
        </w:tc>
      </w:tr>
      <w:tr>
        <w:tblPrEx>
          <w:tblLayout w:type="fixed"/>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r>
      <w:tr>
        <w:tblPrEx>
          <w:tblLayout w:type="fixed"/>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2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r>
      <w:tr>
        <w:tblPrEx>
          <w:tblLayout w:type="fixed"/>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类</w:t>
            </w: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款</w:t>
            </w:r>
          </w:p>
        </w:tc>
        <w:tc>
          <w:tcPr>
            <w:tcW w:w="57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r>
              <w:rPr>
                <w:rFonts w:hint="eastAsia" w:ascii="宋体" w:hAnsi="宋体" w:eastAsia="宋体" w:cs="Arial"/>
                <w:color w:val="000000"/>
                <w:kern w:val="0"/>
                <w:sz w:val="22"/>
                <w:szCs w:val="22"/>
              </w:rPr>
              <w:t>合计</w:t>
            </w:r>
          </w:p>
        </w:tc>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r>
      <w:tr>
        <w:tblPrEx>
          <w:tblLayout w:type="fixed"/>
          <w:tblCellMar>
            <w:top w:w="15" w:type="dxa"/>
            <w:left w:w="108" w:type="dxa"/>
            <w:bottom w:w="15" w:type="dxa"/>
            <w:right w:w="108" w:type="dxa"/>
          </w:tblCellMar>
        </w:tblPrEx>
        <w:trPr>
          <w:trHeight w:val="359"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r>
      <w:tr>
        <w:tblPrEx>
          <w:tblLayout w:type="fixed"/>
          <w:tblCellMar>
            <w:top w:w="15" w:type="dxa"/>
            <w:left w:w="108" w:type="dxa"/>
            <w:bottom w:w="15" w:type="dxa"/>
            <w:right w:w="108" w:type="dxa"/>
          </w:tblCellMar>
        </w:tblPrEx>
        <w:trPr>
          <w:trHeight w:val="424" w:hRule="atLeast"/>
        </w:trPr>
        <w:tc>
          <w:tcPr>
            <w:tcW w:w="17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4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125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c>
          <w:tcPr>
            <w:tcW w:w="21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rPr>
            </w:pPr>
          </w:p>
        </w:tc>
      </w:tr>
    </w:tbl>
    <w:p>
      <w:pPr>
        <w:rPr>
          <w:rFonts w:hint="eastAsia" w:ascii="黑体" w:hAnsi="黑体" w:eastAsia="黑体"/>
          <w:sz w:val="20"/>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楷体_GB2312" w:hAnsi="仿宋" w:eastAsia="楷体_GB2312"/>
          <w:color w:val="000000" w:themeColor="text1"/>
          <w:sz w:val="28"/>
          <w:szCs w:val="28"/>
          <w:lang w:eastAsia="zh-CN"/>
          <w14:textFill>
            <w14:solidFill>
              <w14:schemeClr w14:val="tx1"/>
            </w14:solidFill>
          </w14:textFill>
        </w:rPr>
      </w:pPr>
      <w:r>
        <w:rPr>
          <w:rFonts w:hint="eastAsia" w:ascii="楷体_GB2312" w:hAnsi="仿宋" w:eastAsia="楷体_GB2312"/>
          <w:color w:val="000000" w:themeColor="text1"/>
          <w:sz w:val="28"/>
          <w:szCs w:val="28"/>
          <w:lang w:eastAsia="zh-CN"/>
          <w14:textFill>
            <w14:solidFill>
              <w14:schemeClr w14:val="tx1"/>
            </w14:solidFill>
          </w14:textFill>
        </w:rPr>
        <w:t>黄山市住房公积金管理中心没有使用国有资本经营预算安排的支出，故本表无数据</w:t>
      </w:r>
    </w:p>
    <w:p>
      <w:pPr>
        <w:ind w:firstLine="640" w:firstLineChars="200"/>
        <w:outlineLvl w:val="1"/>
        <w:rPr>
          <w:rFonts w:hint="eastAsia" w:ascii="黑体" w:hAnsi="黑体" w:eastAsia="黑体"/>
          <w:szCs w:val="32"/>
        </w:rPr>
      </w:pPr>
      <w:r>
        <w:rPr>
          <w:rFonts w:hint="eastAsia" w:ascii="黑体" w:hAnsi="黑体" w:eastAsia="黑体"/>
          <w:szCs w:val="32"/>
        </w:rPr>
        <w:t xml:space="preserve">第三部分 </w:t>
      </w:r>
      <w:r>
        <w:rPr>
          <w:rFonts w:hint="eastAsia" w:ascii="黑体" w:hAnsi="黑体" w:eastAsia="黑体"/>
          <w:szCs w:val="32"/>
          <w:lang w:val="en-US" w:eastAsia="zh-CN"/>
        </w:rPr>
        <w:t>黄山市</w:t>
      </w:r>
      <w:r>
        <w:rPr>
          <w:rFonts w:hint="eastAsia" w:ascii="黑体" w:hAnsi="黑体" w:eastAsia="黑体"/>
          <w:szCs w:val="32"/>
          <w:lang w:eastAsia="zh-CN"/>
        </w:rPr>
        <w:t>住房公积金管理中心</w:t>
      </w:r>
      <w:r>
        <w:rPr>
          <w:rFonts w:hint="eastAsia" w:ascii="黑体" w:hAnsi="黑体" w:eastAsia="黑体"/>
          <w:szCs w:val="32"/>
        </w:rPr>
        <w:t>2020年度部门决算情况说明</w:t>
      </w:r>
    </w:p>
    <w:p>
      <w:pPr>
        <w:ind w:firstLine="640" w:firstLineChars="200"/>
        <w:outlineLvl w:val="2"/>
        <w:rPr>
          <w:rFonts w:hint="eastAsia" w:ascii="黑体" w:hAnsi="黑体" w:eastAsia="黑体"/>
          <w:szCs w:val="32"/>
        </w:rPr>
      </w:pPr>
      <w:r>
        <w:rPr>
          <w:rFonts w:hint="eastAsia" w:ascii="黑体" w:hAnsi="黑体" w:eastAsia="黑体"/>
          <w:szCs w:val="32"/>
        </w:rPr>
        <w:t>一、收入支出决算总体情况说明</w:t>
      </w:r>
    </w:p>
    <w:p>
      <w:pPr>
        <w:ind w:firstLine="640" w:firstLineChars="200"/>
        <w:rPr>
          <w:rFonts w:hint="eastAsia" w:ascii="仿宋_GB2312" w:hAnsi="仿宋"/>
          <w:szCs w:val="32"/>
          <w:highlight w:val="yellow"/>
        </w:rPr>
      </w:pPr>
      <w:r>
        <w:rPr>
          <w:rFonts w:hint="eastAsia" w:ascii="仿宋_GB2312" w:hAnsi="仿宋"/>
          <w:szCs w:val="32"/>
        </w:rPr>
        <w:t>2020年度收入总计</w:t>
      </w:r>
      <w:r>
        <w:rPr>
          <w:rFonts w:hint="eastAsia" w:ascii="仿宋_GB2312" w:hAnsi="仿宋"/>
          <w:szCs w:val="32"/>
          <w:lang w:val="en-US" w:eastAsia="zh-CN"/>
        </w:rPr>
        <w:t>1972.87</w:t>
      </w:r>
      <w:r>
        <w:rPr>
          <w:rFonts w:hint="eastAsia" w:ascii="仿宋_GB2312" w:hAnsi="仿宋"/>
          <w:szCs w:val="32"/>
        </w:rPr>
        <w:t>万元（含使用非财政拨款结转结余和年初结转结余）、支出总计</w:t>
      </w:r>
      <w:r>
        <w:rPr>
          <w:rFonts w:hint="eastAsia" w:ascii="仿宋_GB2312" w:hAnsi="仿宋"/>
          <w:szCs w:val="32"/>
          <w:lang w:val="en-US" w:eastAsia="zh-CN"/>
        </w:rPr>
        <w:t>1533.05</w:t>
      </w:r>
      <w:r>
        <w:rPr>
          <w:rFonts w:hint="eastAsia" w:ascii="仿宋_GB2312" w:hAnsi="仿宋"/>
          <w:szCs w:val="32"/>
        </w:rPr>
        <w:t>万元（含结余分配和年末结转结余）。与2019年相比，收、支总计各增加</w:t>
      </w:r>
      <w:r>
        <w:rPr>
          <w:rFonts w:hint="eastAsia" w:ascii="仿宋_GB2312" w:hAnsi="仿宋"/>
          <w:szCs w:val="32"/>
          <w:lang w:val="en-US" w:eastAsia="zh-CN"/>
        </w:rPr>
        <w:t>31.80万元、188.14</w:t>
      </w:r>
      <w:r>
        <w:rPr>
          <w:rFonts w:hint="eastAsia" w:ascii="仿宋_GB2312" w:hAnsi="仿宋"/>
          <w:szCs w:val="32"/>
        </w:rPr>
        <w:t>万元，</w:t>
      </w:r>
      <w:r>
        <w:rPr>
          <w:rFonts w:hint="eastAsia" w:ascii="仿宋_GB2312" w:hAnsi="仿宋"/>
          <w:szCs w:val="32"/>
          <w:lang w:eastAsia="zh-CN"/>
        </w:rPr>
        <w:t>分别</w:t>
      </w:r>
      <w:r>
        <w:rPr>
          <w:rFonts w:hint="eastAsia" w:ascii="仿宋_GB2312" w:hAnsi="仿宋"/>
          <w:szCs w:val="32"/>
        </w:rPr>
        <w:t>增长</w:t>
      </w:r>
      <w:r>
        <w:rPr>
          <w:rFonts w:hint="eastAsia" w:ascii="仿宋_GB2312" w:hAnsi="仿宋"/>
          <w:szCs w:val="32"/>
          <w:lang w:val="en-US" w:eastAsia="zh-CN"/>
        </w:rPr>
        <w:t>1.64</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lang w:val="en-US" w:eastAsia="zh-CN"/>
        </w:rPr>
        <w:t>13.99%</w:t>
      </w:r>
      <w:r>
        <w:rPr>
          <w:rFonts w:hint="eastAsia" w:ascii="仿宋_GB2312" w:hAnsi="仿宋"/>
          <w:szCs w:val="32"/>
        </w:rPr>
        <w:t>，主要原因是软件升级及配套硬件更新费用</w:t>
      </w:r>
      <w:r>
        <w:rPr>
          <w:rFonts w:hint="eastAsia" w:ascii="仿宋_GB2312" w:hAnsi="仿宋"/>
          <w:szCs w:val="32"/>
          <w:lang w:eastAsia="zh-CN"/>
        </w:rPr>
        <w:t>增加。</w:t>
      </w:r>
    </w:p>
    <w:p>
      <w:pPr>
        <w:ind w:firstLine="640" w:firstLineChars="200"/>
        <w:outlineLvl w:val="2"/>
        <w:rPr>
          <w:rFonts w:hint="eastAsia" w:ascii="黑体" w:hAnsi="仿宋" w:eastAsia="黑体"/>
          <w:szCs w:val="32"/>
        </w:rPr>
      </w:pPr>
      <w:r>
        <w:rPr>
          <w:rFonts w:hint="eastAsia" w:ascii="黑体" w:hAnsi="仿宋" w:eastAsia="黑体"/>
          <w:szCs w:val="32"/>
        </w:rPr>
        <w:t>二、收入决算情况说明</w:t>
      </w:r>
    </w:p>
    <w:p>
      <w:pPr>
        <w:ind w:firstLine="640" w:firstLineChars="200"/>
        <w:rPr>
          <w:rFonts w:hint="eastAsia" w:ascii="仿宋_GB2312" w:hAnsi="仿宋"/>
          <w:szCs w:val="32"/>
        </w:rPr>
      </w:pPr>
      <w:r>
        <w:rPr>
          <w:rFonts w:hint="eastAsia" w:ascii="仿宋_GB2312" w:hAnsi="仿宋"/>
          <w:szCs w:val="32"/>
        </w:rPr>
        <w:t>2020年度收入合计</w:t>
      </w:r>
      <w:r>
        <w:rPr>
          <w:rFonts w:hint="eastAsia" w:ascii="仿宋_GB2312" w:hAnsi="仿宋"/>
          <w:szCs w:val="32"/>
          <w:lang w:val="en-US" w:eastAsia="zh-CN"/>
        </w:rPr>
        <w:t>1972.87</w:t>
      </w:r>
      <w:r>
        <w:rPr>
          <w:rFonts w:hint="eastAsia" w:ascii="仿宋_GB2312" w:hAnsi="仿宋"/>
          <w:szCs w:val="32"/>
        </w:rPr>
        <w:t>万元，其中：财政拨款收入</w:t>
      </w:r>
      <w:r>
        <w:rPr>
          <w:rFonts w:hint="eastAsia" w:ascii="仿宋_GB2312" w:hAnsi="仿宋"/>
          <w:szCs w:val="32"/>
          <w:lang w:val="en-US" w:eastAsia="zh-CN"/>
        </w:rPr>
        <w:t>1972.87</w:t>
      </w:r>
      <w:r>
        <w:rPr>
          <w:rFonts w:hint="eastAsia" w:ascii="仿宋_GB2312" w:hAnsi="仿宋"/>
          <w:szCs w:val="32"/>
        </w:rPr>
        <w:t>万元，占</w:t>
      </w:r>
      <w:r>
        <w:rPr>
          <w:rFonts w:hint="eastAsia" w:ascii="仿宋_GB2312" w:hAnsi="仿宋"/>
          <w:szCs w:val="32"/>
          <w:lang w:val="en-US" w:eastAsia="zh-CN"/>
        </w:rPr>
        <w:t>100</w:t>
      </w:r>
      <w:r>
        <w:rPr>
          <w:rFonts w:hint="eastAsia" w:ascii="仿宋_GB2312" w:hAnsi="仿宋"/>
          <w:szCs w:val="32"/>
        </w:rPr>
        <w:t>%；事业收入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%；经营收入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%；其他收入</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p>
    <w:p>
      <w:pPr>
        <w:ind w:firstLine="640" w:firstLineChars="200"/>
        <w:outlineLvl w:val="2"/>
        <w:rPr>
          <w:rFonts w:hint="eastAsia" w:ascii="黑体" w:hAnsi="仿宋" w:eastAsia="黑体"/>
          <w:szCs w:val="32"/>
        </w:rPr>
      </w:pPr>
      <w:r>
        <w:rPr>
          <w:rFonts w:hint="eastAsia" w:ascii="黑体" w:hAnsi="仿宋" w:eastAsia="黑体"/>
          <w:szCs w:val="32"/>
        </w:rPr>
        <w:t>三、支出决算情况说明</w:t>
      </w:r>
    </w:p>
    <w:p>
      <w:pPr>
        <w:ind w:firstLine="640" w:firstLineChars="200"/>
        <w:rPr>
          <w:rFonts w:hint="eastAsia" w:ascii="仿宋_GB2312" w:hAnsi="仿宋"/>
          <w:szCs w:val="32"/>
        </w:rPr>
      </w:pPr>
      <w:r>
        <w:rPr>
          <w:rFonts w:hint="eastAsia" w:ascii="仿宋_GB2312" w:hAnsi="仿宋"/>
          <w:szCs w:val="32"/>
        </w:rPr>
        <w:t>2020年度支出合计</w:t>
      </w:r>
      <w:r>
        <w:rPr>
          <w:rFonts w:hint="eastAsia" w:ascii="仿宋_GB2312" w:hAnsi="仿宋"/>
          <w:szCs w:val="32"/>
          <w:lang w:val="en-US" w:eastAsia="zh-CN"/>
        </w:rPr>
        <w:t>1533.05</w:t>
      </w:r>
      <w:r>
        <w:rPr>
          <w:rFonts w:hint="eastAsia" w:ascii="仿宋_GB2312" w:hAnsi="仿宋"/>
          <w:szCs w:val="32"/>
        </w:rPr>
        <w:t>万元，其中：基本支出</w:t>
      </w:r>
      <w:r>
        <w:rPr>
          <w:rFonts w:hint="eastAsia" w:ascii="仿宋_GB2312" w:hAnsi="仿宋"/>
          <w:szCs w:val="32"/>
          <w:lang w:val="en-US" w:eastAsia="zh-CN"/>
        </w:rPr>
        <w:t>1009.59</w:t>
      </w:r>
      <w:r>
        <w:rPr>
          <w:rFonts w:hint="eastAsia" w:ascii="仿宋_GB2312" w:hAnsi="仿宋"/>
          <w:szCs w:val="32"/>
        </w:rPr>
        <w:t>万元，占</w:t>
      </w:r>
      <w:r>
        <w:rPr>
          <w:rFonts w:hint="eastAsia" w:ascii="仿宋_GB2312" w:hAnsi="仿宋"/>
          <w:szCs w:val="32"/>
          <w:lang w:val="en-US" w:eastAsia="zh-CN"/>
        </w:rPr>
        <w:t>65.85</w:t>
      </w:r>
      <w:r>
        <w:rPr>
          <w:rFonts w:hint="eastAsia" w:ascii="仿宋_GB2312" w:hAnsi="仿宋"/>
          <w:szCs w:val="32"/>
        </w:rPr>
        <w:t>%；项目支出</w:t>
      </w:r>
      <w:r>
        <w:rPr>
          <w:rFonts w:hint="eastAsia" w:ascii="仿宋_GB2312" w:hAnsi="仿宋"/>
          <w:szCs w:val="32"/>
          <w:lang w:val="en-US" w:eastAsia="zh-CN"/>
        </w:rPr>
        <w:t>523.46</w:t>
      </w:r>
      <w:r>
        <w:rPr>
          <w:rFonts w:hint="eastAsia" w:ascii="仿宋_GB2312" w:hAnsi="仿宋"/>
          <w:szCs w:val="32"/>
        </w:rPr>
        <w:t>万元，占</w:t>
      </w:r>
      <w:r>
        <w:rPr>
          <w:rFonts w:hint="eastAsia" w:ascii="仿宋_GB2312" w:hAnsi="仿宋"/>
          <w:szCs w:val="32"/>
          <w:lang w:val="en-US" w:eastAsia="zh-CN"/>
        </w:rPr>
        <w:t>34.15</w:t>
      </w:r>
      <w:r>
        <w:rPr>
          <w:rFonts w:hint="eastAsia" w:ascii="仿宋_GB2312" w:hAnsi="仿宋"/>
          <w:szCs w:val="32"/>
        </w:rPr>
        <w:t>%；经营支出</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w:t>
      </w:r>
    </w:p>
    <w:p>
      <w:pPr>
        <w:ind w:firstLine="640" w:firstLineChars="200"/>
        <w:outlineLvl w:val="2"/>
        <w:rPr>
          <w:rFonts w:hint="eastAsia" w:ascii="黑体" w:hAnsi="仿宋" w:eastAsia="黑体"/>
          <w:szCs w:val="32"/>
        </w:rPr>
      </w:pPr>
      <w:r>
        <w:rPr>
          <w:rFonts w:hint="eastAsia" w:ascii="黑体" w:hAnsi="仿宋" w:eastAsia="黑体"/>
          <w:szCs w:val="32"/>
        </w:rPr>
        <w:t>四、</w:t>
      </w:r>
      <w:r>
        <w:rPr>
          <w:rFonts w:hint="eastAsia" w:ascii="黑体" w:eastAsia="黑体"/>
          <w:szCs w:val="32"/>
        </w:rPr>
        <w:t>财政拨款收入支出决算总体情况说明</w:t>
      </w:r>
    </w:p>
    <w:p>
      <w:pPr>
        <w:ind w:firstLine="640" w:firstLineChars="200"/>
        <w:rPr>
          <w:rFonts w:hint="eastAsia" w:ascii="仿宋_GB2312" w:hAnsi="仿宋"/>
          <w:szCs w:val="32"/>
        </w:rPr>
      </w:pPr>
      <w:r>
        <w:rPr>
          <w:rFonts w:hint="eastAsia" w:ascii="仿宋_GB2312" w:hAnsi="仿宋"/>
          <w:szCs w:val="32"/>
        </w:rPr>
        <w:t>2020年度财政拨款收入总计</w:t>
      </w:r>
      <w:r>
        <w:rPr>
          <w:rFonts w:hint="eastAsia" w:ascii="仿宋_GB2312" w:hAnsi="仿宋"/>
          <w:szCs w:val="32"/>
          <w:lang w:val="en-US" w:eastAsia="zh-CN"/>
        </w:rPr>
        <w:t>1972.87</w:t>
      </w:r>
      <w:r>
        <w:rPr>
          <w:rFonts w:hint="eastAsia" w:ascii="仿宋_GB2312" w:hAnsi="仿宋"/>
          <w:szCs w:val="32"/>
        </w:rPr>
        <w:t>万元（含年初财政拨款结转结余），支出总计</w:t>
      </w:r>
      <w:r>
        <w:rPr>
          <w:rFonts w:hint="eastAsia" w:ascii="仿宋_GB2312" w:hAnsi="仿宋"/>
          <w:szCs w:val="32"/>
          <w:lang w:val="en-US" w:eastAsia="zh-CN"/>
        </w:rPr>
        <w:t>1533.05</w:t>
      </w:r>
      <w:r>
        <w:rPr>
          <w:rFonts w:hint="eastAsia" w:ascii="仿宋_GB2312" w:hAnsi="仿宋"/>
          <w:szCs w:val="32"/>
        </w:rPr>
        <w:t>万元（含年末财政拨款结转和结余）。与2019年相比，财政拨款收、支总计各增加</w:t>
      </w:r>
      <w:r>
        <w:rPr>
          <w:rFonts w:hint="eastAsia" w:ascii="仿宋_GB2312" w:hAnsi="仿宋"/>
          <w:szCs w:val="32"/>
          <w:lang w:val="en-US" w:eastAsia="zh-CN"/>
        </w:rPr>
        <w:t>31.80</w:t>
      </w:r>
      <w:r>
        <w:rPr>
          <w:rFonts w:hint="eastAsia" w:ascii="仿宋_GB2312" w:hAnsi="仿宋"/>
          <w:szCs w:val="32"/>
        </w:rPr>
        <w:t>万元</w:t>
      </w:r>
      <w:r>
        <w:rPr>
          <w:rFonts w:hint="eastAsia" w:ascii="仿宋_GB2312" w:hAnsi="仿宋"/>
          <w:szCs w:val="32"/>
          <w:lang w:eastAsia="zh-CN"/>
        </w:rPr>
        <w:t>、</w:t>
      </w:r>
      <w:r>
        <w:rPr>
          <w:rFonts w:hint="eastAsia" w:ascii="仿宋_GB2312" w:hAnsi="仿宋"/>
          <w:szCs w:val="32"/>
          <w:lang w:val="en-US" w:eastAsia="zh-CN"/>
        </w:rPr>
        <w:t>188.14万元</w:t>
      </w:r>
      <w:r>
        <w:rPr>
          <w:rFonts w:hint="eastAsia" w:ascii="仿宋_GB2312" w:hAnsi="仿宋"/>
          <w:szCs w:val="32"/>
        </w:rPr>
        <w:t>，增长</w:t>
      </w:r>
      <w:r>
        <w:rPr>
          <w:rFonts w:hint="eastAsia" w:ascii="仿宋_GB2312" w:hAnsi="仿宋"/>
          <w:szCs w:val="32"/>
          <w:lang w:val="en-US" w:eastAsia="zh-CN"/>
        </w:rPr>
        <w:t>1.64</w:t>
      </w:r>
      <w:r>
        <w:rPr>
          <w:rFonts w:hint="eastAsia" w:ascii="仿宋_GB2312" w:hAnsi="仿宋"/>
          <w:szCs w:val="32"/>
        </w:rPr>
        <w:t>%</w:t>
      </w:r>
      <w:r>
        <w:rPr>
          <w:rFonts w:hint="eastAsia" w:ascii="仿宋_GB2312" w:hAnsi="仿宋"/>
          <w:szCs w:val="32"/>
          <w:lang w:eastAsia="zh-CN"/>
        </w:rPr>
        <w:t>、</w:t>
      </w:r>
      <w:r>
        <w:rPr>
          <w:rFonts w:hint="eastAsia" w:ascii="仿宋_GB2312" w:hAnsi="仿宋"/>
          <w:szCs w:val="32"/>
          <w:lang w:val="en-US" w:eastAsia="zh-CN"/>
        </w:rPr>
        <w:t>13.99%</w:t>
      </w:r>
      <w:r>
        <w:rPr>
          <w:rFonts w:hint="eastAsia" w:ascii="仿宋_GB2312" w:hAnsi="仿宋"/>
          <w:szCs w:val="32"/>
        </w:rPr>
        <w:t>，主要原因是软件升级及配套硬件更新费用</w:t>
      </w:r>
      <w:r>
        <w:rPr>
          <w:rFonts w:hint="eastAsia" w:ascii="仿宋_GB2312" w:hAnsi="仿宋"/>
          <w:szCs w:val="32"/>
          <w:lang w:eastAsia="zh-CN"/>
        </w:rPr>
        <w:t>增加。</w:t>
      </w:r>
    </w:p>
    <w:p>
      <w:pPr>
        <w:ind w:firstLine="640" w:firstLineChars="200"/>
        <w:outlineLvl w:val="2"/>
        <w:rPr>
          <w:rFonts w:hint="eastAsia" w:ascii="黑体" w:hAnsi="仿宋" w:eastAsia="黑体"/>
          <w:szCs w:val="32"/>
        </w:rPr>
      </w:pPr>
      <w:r>
        <w:rPr>
          <w:rFonts w:hint="eastAsia" w:ascii="黑体" w:hAnsi="仿宋" w:eastAsia="黑体"/>
          <w:szCs w:val="32"/>
        </w:rPr>
        <w:t>五、一般公共预算财政拨款支出决算情况说明</w:t>
      </w:r>
    </w:p>
    <w:p>
      <w:pPr>
        <w:ind w:firstLine="643" w:firstLineChars="200"/>
        <w:outlineLvl w:val="3"/>
        <w:rPr>
          <w:rFonts w:hint="eastAsia" w:ascii="仿宋_GB2312" w:hAnsi="仿宋"/>
          <w:b/>
          <w:bCs/>
          <w:szCs w:val="32"/>
        </w:rPr>
      </w:pPr>
      <w:r>
        <w:rPr>
          <w:rFonts w:hint="eastAsia" w:ascii="仿宋_GB2312" w:hAnsi="仿宋"/>
          <w:b/>
          <w:bCs/>
          <w:szCs w:val="32"/>
        </w:rPr>
        <w:t>（一）一般公共预算财政拨款支出决算总体情况。</w:t>
      </w:r>
    </w:p>
    <w:p>
      <w:pPr>
        <w:ind w:firstLine="640" w:firstLineChars="200"/>
        <w:rPr>
          <w:rFonts w:hint="eastAsia" w:ascii="仿宋_GB2312" w:hAnsi="仿宋"/>
          <w:szCs w:val="32"/>
          <w:highlight w:val="none"/>
        </w:rPr>
      </w:pPr>
      <w:r>
        <w:rPr>
          <w:rFonts w:hint="eastAsia" w:ascii="仿宋_GB2312" w:hAnsi="仿宋"/>
          <w:szCs w:val="32"/>
        </w:rPr>
        <w:t>2020年度一般公共预算财政拨款支出</w:t>
      </w:r>
      <w:r>
        <w:rPr>
          <w:rFonts w:hint="eastAsia" w:ascii="仿宋_GB2312" w:hAnsi="仿宋"/>
          <w:szCs w:val="32"/>
          <w:lang w:val="en-US" w:eastAsia="zh-CN"/>
        </w:rPr>
        <w:t>1533.05</w:t>
      </w:r>
      <w:r>
        <w:rPr>
          <w:rFonts w:hint="eastAsia" w:ascii="仿宋_GB2312" w:hAnsi="仿宋"/>
          <w:szCs w:val="32"/>
        </w:rPr>
        <w:t>万元，占本年支出的</w:t>
      </w:r>
      <w:r>
        <w:rPr>
          <w:rFonts w:hint="eastAsia" w:ascii="仿宋_GB2312" w:hAnsi="仿宋"/>
          <w:szCs w:val="32"/>
          <w:lang w:val="en-US" w:eastAsia="zh-CN"/>
        </w:rPr>
        <w:t>100</w:t>
      </w:r>
      <w:r>
        <w:rPr>
          <w:rFonts w:hint="eastAsia" w:ascii="仿宋_GB2312" w:hAnsi="仿宋"/>
          <w:szCs w:val="32"/>
        </w:rPr>
        <w:t>%。与2019年相比，一般公共预算财政拨款支出增加</w:t>
      </w:r>
      <w:r>
        <w:rPr>
          <w:rFonts w:hint="eastAsia" w:ascii="仿宋_GB2312" w:hAnsi="仿宋"/>
          <w:szCs w:val="32"/>
          <w:lang w:val="en-US" w:eastAsia="zh-CN"/>
        </w:rPr>
        <w:t>188.14</w:t>
      </w:r>
      <w:r>
        <w:rPr>
          <w:rFonts w:hint="eastAsia" w:ascii="仿宋_GB2312" w:hAnsi="仿宋"/>
          <w:szCs w:val="32"/>
        </w:rPr>
        <w:t>万元，增长</w:t>
      </w:r>
      <w:r>
        <w:rPr>
          <w:rFonts w:hint="eastAsia" w:ascii="仿宋_GB2312" w:hAnsi="仿宋"/>
          <w:szCs w:val="32"/>
          <w:lang w:val="en-US" w:eastAsia="zh-CN"/>
        </w:rPr>
        <w:t>13.99</w:t>
      </w:r>
      <w:r>
        <w:rPr>
          <w:rFonts w:hint="eastAsia" w:ascii="仿宋_GB2312" w:hAnsi="仿宋"/>
          <w:szCs w:val="32"/>
        </w:rPr>
        <w:t>%。</w:t>
      </w:r>
      <w:r>
        <w:rPr>
          <w:rFonts w:hint="eastAsia" w:ascii="仿宋_GB2312" w:hAnsi="仿宋"/>
          <w:szCs w:val="32"/>
          <w:highlight w:val="none"/>
        </w:rPr>
        <w:t>主要原因</w:t>
      </w:r>
      <w:r>
        <w:rPr>
          <w:rFonts w:hint="eastAsia" w:ascii="仿宋_GB2312" w:hAnsi="仿宋"/>
          <w:szCs w:val="32"/>
          <w:highlight w:val="none"/>
          <w:lang w:eastAsia="zh-CN"/>
        </w:rPr>
        <w:t>是</w:t>
      </w:r>
      <w:r>
        <w:rPr>
          <w:rFonts w:hint="eastAsia" w:ascii="仿宋_GB2312" w:hAnsi="仿宋"/>
          <w:szCs w:val="32"/>
          <w:highlight w:val="none"/>
        </w:rPr>
        <w:t>软件升级及配套硬件更新费用</w:t>
      </w:r>
      <w:r>
        <w:rPr>
          <w:rFonts w:hint="eastAsia" w:ascii="仿宋_GB2312" w:hAnsi="仿宋"/>
          <w:szCs w:val="32"/>
          <w:highlight w:val="none"/>
          <w:lang w:eastAsia="zh-CN"/>
        </w:rPr>
        <w:t>增加</w:t>
      </w:r>
      <w:r>
        <w:rPr>
          <w:rFonts w:hint="eastAsia" w:ascii="仿宋_GB2312" w:hAnsi="仿宋"/>
          <w:szCs w:val="32"/>
          <w:highlight w:val="none"/>
        </w:rPr>
        <w:t>。</w:t>
      </w:r>
    </w:p>
    <w:p>
      <w:pPr>
        <w:ind w:firstLine="643" w:firstLineChars="200"/>
        <w:outlineLvl w:val="3"/>
        <w:rPr>
          <w:rFonts w:hint="eastAsia" w:ascii="仿宋_GB2312" w:hAnsi="仿宋"/>
          <w:b/>
          <w:szCs w:val="32"/>
        </w:rPr>
      </w:pPr>
      <w:r>
        <w:rPr>
          <w:rFonts w:hint="eastAsia" w:ascii="仿宋_GB2312" w:hAnsi="仿宋"/>
          <w:b/>
          <w:szCs w:val="32"/>
        </w:rPr>
        <w:t>（二）一般公共预算财政拨款支出决算结构情况。</w:t>
      </w:r>
    </w:p>
    <w:p>
      <w:pPr>
        <w:ind w:firstLine="640" w:firstLineChars="200"/>
        <w:rPr>
          <w:rFonts w:ascii="仿宋_GB2312" w:hAnsi="仿宋"/>
          <w:szCs w:val="32"/>
        </w:rPr>
      </w:pPr>
      <w:r>
        <w:rPr>
          <w:rFonts w:hint="eastAsia" w:ascii="仿宋_GB2312" w:hAnsi="仿宋"/>
          <w:szCs w:val="32"/>
        </w:rPr>
        <w:t>2020年度一般公共预算财政拨款支出</w:t>
      </w:r>
      <w:r>
        <w:rPr>
          <w:rFonts w:hint="eastAsia" w:ascii="仿宋_GB2312" w:hAnsi="仿宋"/>
          <w:szCs w:val="32"/>
          <w:lang w:val="en-US" w:eastAsia="zh-CN"/>
        </w:rPr>
        <w:t>1533.05</w:t>
      </w:r>
      <w:r>
        <w:rPr>
          <w:rFonts w:hint="eastAsia" w:ascii="仿宋_GB2312" w:hAnsi="仿宋"/>
          <w:szCs w:val="32"/>
        </w:rPr>
        <w:t>万元，主要用于以下方面：</w:t>
      </w:r>
      <w:r>
        <w:rPr>
          <w:rFonts w:hint="eastAsia" w:ascii="仿宋_GB2312" w:hAnsi="仿宋"/>
          <w:b/>
          <w:szCs w:val="32"/>
        </w:rPr>
        <w:t>一般公共服务（类）</w:t>
      </w:r>
      <w:r>
        <w:rPr>
          <w:rFonts w:hint="eastAsia" w:ascii="仿宋_GB2312" w:hAnsi="仿宋"/>
          <w:szCs w:val="32"/>
        </w:rPr>
        <w:t>支出</w:t>
      </w:r>
      <w:r>
        <w:rPr>
          <w:rFonts w:hint="eastAsia" w:ascii="仿宋_GB2312" w:hAnsi="仿宋"/>
          <w:szCs w:val="32"/>
          <w:lang w:val="en-US" w:eastAsia="zh-CN"/>
        </w:rPr>
        <w:t>901.17</w:t>
      </w:r>
      <w:r>
        <w:rPr>
          <w:rFonts w:hint="eastAsia" w:ascii="仿宋_GB2312" w:hAnsi="仿宋"/>
          <w:szCs w:val="32"/>
        </w:rPr>
        <w:t>万元，占</w:t>
      </w:r>
      <w:r>
        <w:rPr>
          <w:rFonts w:hint="eastAsia" w:ascii="仿宋_GB2312" w:hAnsi="仿宋"/>
          <w:szCs w:val="32"/>
          <w:lang w:val="en-US" w:eastAsia="zh-CN"/>
        </w:rPr>
        <w:t>58.78</w:t>
      </w:r>
      <w:r>
        <w:rPr>
          <w:rFonts w:hint="eastAsia" w:ascii="仿宋_GB2312" w:hAnsi="仿宋"/>
          <w:szCs w:val="32"/>
        </w:rPr>
        <w:t>%;</w:t>
      </w:r>
      <w:r>
        <w:rPr>
          <w:rFonts w:hint="eastAsia" w:ascii="仿宋_GB2312" w:hAnsi="仿宋"/>
          <w:b/>
          <w:color w:val="000000" w:themeColor="text1"/>
          <w:szCs w:val="32"/>
          <w14:textFill>
            <w14:solidFill>
              <w14:schemeClr w14:val="tx1"/>
            </w14:solidFill>
          </w14:textFill>
        </w:rPr>
        <w:t>卫生健康支出（类）</w:t>
      </w:r>
      <w:r>
        <w:rPr>
          <w:rFonts w:hint="eastAsia" w:ascii="仿宋_GB2312" w:hAnsi="仿宋"/>
          <w:color w:val="000000" w:themeColor="text1"/>
          <w:szCs w:val="32"/>
          <w14:textFill>
            <w14:solidFill>
              <w14:schemeClr w14:val="tx1"/>
            </w14:solidFill>
          </w14:textFill>
        </w:rPr>
        <w:t>支出</w:t>
      </w:r>
      <w:r>
        <w:rPr>
          <w:rFonts w:hint="eastAsia" w:ascii="仿宋_GB2312" w:hAnsi="仿宋"/>
          <w:color w:val="000000" w:themeColor="text1"/>
          <w:szCs w:val="32"/>
          <w:lang w:val="en-US" w:eastAsia="zh-CN"/>
          <w14:textFill>
            <w14:solidFill>
              <w14:schemeClr w14:val="tx1"/>
            </w14:solidFill>
          </w14:textFill>
        </w:rPr>
        <w:t>35.42</w:t>
      </w:r>
      <w:r>
        <w:rPr>
          <w:rFonts w:hint="eastAsia" w:ascii="仿宋_GB2312" w:hAnsi="仿宋"/>
          <w:color w:val="000000" w:themeColor="text1"/>
          <w:szCs w:val="32"/>
          <w14:textFill>
            <w14:solidFill>
              <w14:schemeClr w14:val="tx1"/>
            </w14:solidFill>
          </w14:textFill>
        </w:rPr>
        <w:t>万元，占</w:t>
      </w:r>
      <w:r>
        <w:rPr>
          <w:rFonts w:hint="eastAsia" w:ascii="仿宋_GB2312" w:hAnsi="仿宋"/>
          <w:color w:val="000000" w:themeColor="text1"/>
          <w:szCs w:val="32"/>
          <w:lang w:val="en-US" w:eastAsia="zh-CN"/>
          <w14:textFill>
            <w14:solidFill>
              <w14:schemeClr w14:val="tx1"/>
            </w14:solidFill>
          </w14:textFill>
        </w:rPr>
        <w:t>2.31</w:t>
      </w:r>
      <w:r>
        <w:rPr>
          <w:rFonts w:ascii="仿宋_GB2312" w:hAnsi="仿宋"/>
          <w:color w:val="000000" w:themeColor="text1"/>
          <w:szCs w:val="32"/>
          <w14:textFill>
            <w14:solidFill>
              <w14:schemeClr w14:val="tx1"/>
            </w14:solidFill>
          </w14:textFill>
        </w:rPr>
        <w:t>%</w:t>
      </w:r>
      <w:r>
        <w:rPr>
          <w:rFonts w:hint="eastAsia" w:ascii="仿宋_GB2312" w:hAnsi="仿宋"/>
          <w:szCs w:val="32"/>
        </w:rPr>
        <w:t>；</w:t>
      </w:r>
      <w:r>
        <w:rPr>
          <w:rFonts w:hint="eastAsia" w:ascii="仿宋_GB2312" w:hAnsi="仿宋"/>
          <w:b/>
          <w:szCs w:val="32"/>
        </w:rPr>
        <w:t>住房保障（类）</w:t>
      </w:r>
      <w:r>
        <w:rPr>
          <w:rFonts w:hint="eastAsia" w:ascii="仿宋_GB2312" w:hAnsi="仿宋"/>
          <w:szCs w:val="32"/>
        </w:rPr>
        <w:t>支出</w:t>
      </w:r>
      <w:r>
        <w:rPr>
          <w:rFonts w:hint="eastAsia" w:ascii="仿宋_GB2312" w:hAnsi="仿宋"/>
          <w:szCs w:val="32"/>
          <w:lang w:val="en-US" w:eastAsia="zh-CN"/>
        </w:rPr>
        <w:t>596.46</w:t>
      </w:r>
      <w:r>
        <w:rPr>
          <w:rFonts w:hint="eastAsia" w:ascii="仿宋_GB2312" w:hAnsi="仿宋"/>
          <w:szCs w:val="32"/>
        </w:rPr>
        <w:t>万元，占</w:t>
      </w:r>
      <w:r>
        <w:rPr>
          <w:rFonts w:hint="eastAsia" w:ascii="仿宋_GB2312" w:hAnsi="仿宋"/>
          <w:szCs w:val="32"/>
          <w:lang w:val="en-US" w:eastAsia="zh-CN"/>
        </w:rPr>
        <w:t>38.91</w:t>
      </w:r>
      <w:r>
        <w:rPr>
          <w:rFonts w:hint="eastAsia" w:ascii="仿宋_GB2312" w:hAnsi="仿宋"/>
          <w:szCs w:val="32"/>
        </w:rPr>
        <w:t>%。</w:t>
      </w:r>
    </w:p>
    <w:p>
      <w:pPr>
        <w:ind w:firstLine="643" w:firstLineChars="200"/>
        <w:outlineLvl w:val="3"/>
        <w:rPr>
          <w:rFonts w:hint="eastAsia" w:ascii="仿宋_GB2312" w:hAnsi="仿宋"/>
          <w:b/>
          <w:bCs/>
          <w:szCs w:val="32"/>
        </w:rPr>
      </w:pPr>
      <w:r>
        <w:rPr>
          <w:rFonts w:hint="eastAsia" w:ascii="仿宋_GB2312" w:hAnsi="仿宋"/>
          <w:b/>
          <w:bCs/>
          <w:szCs w:val="32"/>
        </w:rPr>
        <w:t>（三）一般公共预算财政拨款支出决算具体情况。</w:t>
      </w:r>
    </w:p>
    <w:p>
      <w:pPr>
        <w:ind w:firstLine="640" w:firstLineChars="200"/>
        <w:rPr>
          <w:rFonts w:hint="eastAsia" w:ascii="仿宋_GB2312" w:hAnsi="仿宋"/>
          <w:szCs w:val="32"/>
          <w:highlight w:val="none"/>
        </w:rPr>
      </w:pPr>
      <w:r>
        <w:rPr>
          <w:rFonts w:hint="eastAsia" w:ascii="仿宋_GB2312" w:hAnsi="仿宋"/>
          <w:szCs w:val="32"/>
        </w:rPr>
        <w:t>2020年度一般公共预算财政拨款支出年初预算为</w:t>
      </w:r>
      <w:r>
        <w:rPr>
          <w:rFonts w:hint="eastAsia" w:ascii="仿宋_GB2312" w:hAnsi="仿宋"/>
          <w:szCs w:val="32"/>
          <w:lang w:val="en-US" w:eastAsia="zh-CN"/>
        </w:rPr>
        <w:t>1972.87</w:t>
      </w:r>
      <w:r>
        <w:rPr>
          <w:rFonts w:hint="eastAsia" w:ascii="仿宋_GB2312" w:hAnsi="仿宋"/>
          <w:szCs w:val="32"/>
        </w:rPr>
        <w:t>万元，支出决算为</w:t>
      </w:r>
      <w:r>
        <w:rPr>
          <w:rFonts w:hint="eastAsia" w:ascii="仿宋_GB2312" w:hAnsi="仿宋"/>
          <w:szCs w:val="32"/>
          <w:lang w:val="en-US" w:eastAsia="zh-CN"/>
        </w:rPr>
        <w:t>1533.05</w:t>
      </w:r>
      <w:r>
        <w:rPr>
          <w:rFonts w:hint="eastAsia" w:ascii="仿宋_GB2312" w:hAnsi="仿宋"/>
          <w:szCs w:val="32"/>
        </w:rPr>
        <w:t>万元，完成年初预算的</w:t>
      </w:r>
      <w:r>
        <w:rPr>
          <w:rFonts w:hint="eastAsia" w:ascii="仿宋_GB2312" w:hAnsi="仿宋"/>
          <w:szCs w:val="32"/>
          <w:lang w:val="en-US" w:eastAsia="zh-CN"/>
        </w:rPr>
        <w:t>77.71</w:t>
      </w:r>
      <w:r>
        <w:rPr>
          <w:rFonts w:hint="eastAsia" w:ascii="仿宋_GB2312" w:hAnsi="仿宋"/>
          <w:szCs w:val="32"/>
        </w:rPr>
        <w:t>%。</w:t>
      </w:r>
      <w:r>
        <w:rPr>
          <w:rFonts w:hint="eastAsia" w:ascii="仿宋_GB2312" w:hAnsi="仿宋"/>
          <w:szCs w:val="32"/>
          <w:highlight w:val="none"/>
        </w:rPr>
        <w:t>决算数小于预算数的主要原因:认真贯彻厉行节约的各项规定，减少不必要开支</w:t>
      </w:r>
      <w:r>
        <w:rPr>
          <w:rFonts w:hint="eastAsia" w:ascii="仿宋_GB2312" w:hAnsi="仿宋"/>
          <w:szCs w:val="32"/>
          <w:highlight w:val="none"/>
          <w:lang w:eastAsia="zh-CN"/>
        </w:rPr>
        <w:t>。</w:t>
      </w:r>
      <w:r>
        <w:rPr>
          <w:rFonts w:hint="eastAsia" w:ascii="仿宋_GB2312" w:hAnsi="仿宋"/>
          <w:szCs w:val="32"/>
          <w:highlight w:val="none"/>
        </w:rPr>
        <w:t>其中:基本支出</w:t>
      </w:r>
      <w:r>
        <w:rPr>
          <w:rFonts w:hint="eastAsia" w:ascii="仿宋_GB2312" w:hAnsi="仿宋"/>
          <w:szCs w:val="32"/>
          <w:highlight w:val="none"/>
          <w:lang w:val="en-US" w:eastAsia="zh-CN"/>
        </w:rPr>
        <w:t>1009.59</w:t>
      </w:r>
      <w:r>
        <w:rPr>
          <w:rFonts w:hint="eastAsia" w:ascii="仿宋_GB2312" w:hAnsi="仿宋"/>
          <w:szCs w:val="32"/>
          <w:highlight w:val="none"/>
        </w:rPr>
        <w:t>万元，占</w:t>
      </w:r>
      <w:r>
        <w:rPr>
          <w:rFonts w:hint="eastAsia" w:ascii="仿宋_GB2312" w:hAnsi="仿宋"/>
          <w:szCs w:val="32"/>
          <w:highlight w:val="none"/>
          <w:lang w:val="en-US" w:eastAsia="zh-CN"/>
        </w:rPr>
        <w:t>65.85</w:t>
      </w:r>
      <w:r>
        <w:rPr>
          <w:rFonts w:hint="eastAsia" w:ascii="仿宋_GB2312" w:hAnsi="仿宋"/>
          <w:szCs w:val="32"/>
          <w:highlight w:val="none"/>
        </w:rPr>
        <w:t>%；项目支出</w:t>
      </w:r>
      <w:r>
        <w:rPr>
          <w:rFonts w:hint="eastAsia" w:ascii="仿宋_GB2312" w:hAnsi="仿宋"/>
          <w:szCs w:val="32"/>
          <w:highlight w:val="none"/>
          <w:lang w:val="en-US" w:eastAsia="zh-CN"/>
        </w:rPr>
        <w:t>523.46</w:t>
      </w:r>
      <w:r>
        <w:rPr>
          <w:rFonts w:hint="eastAsia" w:ascii="仿宋_GB2312" w:hAnsi="仿宋"/>
          <w:szCs w:val="32"/>
          <w:highlight w:val="none"/>
        </w:rPr>
        <w:t>万元，占</w:t>
      </w:r>
      <w:r>
        <w:rPr>
          <w:rFonts w:hint="eastAsia" w:ascii="仿宋_GB2312" w:hAnsi="仿宋"/>
          <w:szCs w:val="32"/>
          <w:highlight w:val="none"/>
          <w:lang w:val="en-US" w:eastAsia="zh-CN"/>
        </w:rPr>
        <w:t>34.15</w:t>
      </w:r>
      <w:r>
        <w:rPr>
          <w:rFonts w:hint="eastAsia" w:ascii="仿宋_GB2312" w:hAnsi="仿宋"/>
          <w:szCs w:val="32"/>
          <w:highlight w:val="none"/>
        </w:rPr>
        <w:t>%。具体情况如下：</w:t>
      </w:r>
    </w:p>
    <w:p>
      <w:pPr>
        <w:ind w:firstLine="640" w:firstLineChars="200"/>
        <w:rPr>
          <w:rFonts w:hint="eastAsia" w:ascii="仿宋_GB2312" w:hAnsi="仿宋" w:eastAsia="仿宋_GB2312"/>
          <w:szCs w:val="32"/>
          <w:highlight w:val="none"/>
          <w:lang w:eastAsia="zh-CN"/>
        </w:rPr>
      </w:pPr>
      <w:r>
        <w:rPr>
          <w:rFonts w:hint="eastAsia" w:ascii="仿宋_GB2312" w:hAnsi="仿宋"/>
          <w:szCs w:val="32"/>
          <w:highlight w:val="none"/>
        </w:rPr>
        <w:t>1.</w:t>
      </w:r>
      <w:r>
        <w:rPr>
          <w:rFonts w:hint="eastAsia" w:ascii="仿宋_GB2312" w:hAnsi="仿宋"/>
          <w:b/>
          <w:szCs w:val="32"/>
          <w:highlight w:val="none"/>
        </w:rPr>
        <w:t>一般公共服务（类）其他一般公共服务支出（款）其他一般公共服务支出（项）</w:t>
      </w:r>
      <w:r>
        <w:rPr>
          <w:rFonts w:hint="eastAsia" w:ascii="仿宋_GB2312" w:hAnsi="仿宋"/>
          <w:szCs w:val="32"/>
          <w:highlight w:val="none"/>
        </w:rPr>
        <w:t>。年初预算为</w:t>
      </w:r>
      <w:r>
        <w:rPr>
          <w:rFonts w:hint="eastAsia" w:ascii="仿宋_GB2312" w:hAnsi="仿宋"/>
          <w:szCs w:val="32"/>
          <w:highlight w:val="none"/>
          <w:lang w:val="en-US" w:eastAsia="zh-CN"/>
        </w:rPr>
        <w:t>1093.12</w:t>
      </w:r>
      <w:r>
        <w:rPr>
          <w:rFonts w:hint="eastAsia" w:ascii="仿宋_GB2312" w:hAnsi="仿宋"/>
          <w:szCs w:val="32"/>
          <w:highlight w:val="none"/>
        </w:rPr>
        <w:t>万元，支出决算为</w:t>
      </w:r>
      <w:r>
        <w:rPr>
          <w:rFonts w:hint="eastAsia" w:ascii="仿宋_GB2312" w:hAnsi="仿宋"/>
          <w:szCs w:val="32"/>
          <w:highlight w:val="none"/>
          <w:lang w:val="en-US" w:eastAsia="zh-CN"/>
        </w:rPr>
        <w:t>901.17</w:t>
      </w:r>
      <w:r>
        <w:rPr>
          <w:rFonts w:hint="eastAsia" w:ascii="仿宋_GB2312" w:hAnsi="仿宋"/>
          <w:szCs w:val="32"/>
          <w:highlight w:val="none"/>
        </w:rPr>
        <w:t>万元，完成年</w:t>
      </w:r>
      <w:r>
        <w:rPr>
          <w:rFonts w:hint="eastAsia" w:ascii="仿宋_GB2312" w:hAnsi="仿宋"/>
          <w:szCs w:val="32"/>
          <w:highlight w:val="none"/>
        </w:rPr>
        <w:t>初预算的</w:t>
      </w:r>
      <w:r>
        <w:rPr>
          <w:rFonts w:hint="eastAsia" w:ascii="仿宋_GB2312" w:hAnsi="仿宋"/>
          <w:szCs w:val="32"/>
          <w:highlight w:val="none"/>
          <w:lang w:val="en-US" w:eastAsia="zh-CN"/>
        </w:rPr>
        <w:t>82.44</w:t>
      </w:r>
      <w:r>
        <w:rPr>
          <w:rFonts w:hint="eastAsia" w:ascii="仿宋_GB2312" w:hAnsi="仿宋"/>
          <w:szCs w:val="32"/>
          <w:highlight w:val="none"/>
        </w:rPr>
        <w:t>%，决算数小于预算数的主要原因是认真贯彻厉行节约的各项规定，减少不必要开支</w:t>
      </w:r>
      <w:r>
        <w:rPr>
          <w:rFonts w:hint="eastAsia" w:ascii="仿宋_GB2312" w:hAnsi="仿宋"/>
          <w:szCs w:val="32"/>
          <w:highlight w:val="none"/>
          <w:lang w:eastAsia="zh-CN"/>
        </w:rPr>
        <w:t>。</w:t>
      </w:r>
    </w:p>
    <w:p>
      <w:pPr>
        <w:ind w:firstLine="643" w:firstLineChars="200"/>
        <w:rPr>
          <w:rFonts w:hint="eastAsia" w:ascii="仿宋_GB2312" w:hAnsi="仿宋"/>
          <w:szCs w:val="32"/>
          <w:highlight w:val="none"/>
        </w:rPr>
      </w:pPr>
      <w:r>
        <w:rPr>
          <w:rFonts w:hint="eastAsia" w:ascii="仿宋_GB2312" w:hAnsi="仿宋"/>
          <w:b/>
          <w:bCs/>
          <w:szCs w:val="32"/>
        </w:rPr>
        <w:t>2.</w:t>
      </w:r>
      <w:r>
        <w:rPr>
          <w:rFonts w:hint="eastAsia" w:ascii="仿宋_GB2312" w:hAnsi="仿宋"/>
          <w:b/>
          <w:bCs/>
          <w:szCs w:val="32"/>
          <w:lang w:eastAsia="zh-CN"/>
        </w:rPr>
        <w:t>卫生健康支出</w:t>
      </w:r>
      <w:r>
        <w:rPr>
          <w:rFonts w:hint="eastAsia" w:ascii="仿宋_GB2312" w:hAnsi="仿宋"/>
          <w:b/>
          <w:bCs/>
          <w:szCs w:val="32"/>
        </w:rPr>
        <w:t>（类）</w:t>
      </w:r>
      <w:r>
        <w:rPr>
          <w:rFonts w:hint="eastAsia" w:ascii="仿宋_GB2312" w:hAnsi="仿宋"/>
          <w:b/>
          <w:bCs/>
          <w:szCs w:val="32"/>
          <w:lang w:eastAsia="zh-CN"/>
        </w:rPr>
        <w:t>行政事业单位医</w:t>
      </w:r>
      <w:r>
        <w:rPr>
          <w:rFonts w:hint="eastAsia" w:ascii="仿宋_GB2312" w:hAnsi="仿宋"/>
          <w:b/>
          <w:szCs w:val="32"/>
          <w:lang w:eastAsia="zh-CN"/>
        </w:rPr>
        <w:t>疗</w:t>
      </w:r>
      <w:r>
        <w:rPr>
          <w:rFonts w:hint="eastAsia" w:ascii="仿宋_GB2312" w:hAnsi="仿宋"/>
          <w:b/>
          <w:szCs w:val="32"/>
        </w:rPr>
        <w:t>（款）</w:t>
      </w:r>
      <w:r>
        <w:rPr>
          <w:rFonts w:hint="eastAsia" w:ascii="仿宋_GB2312" w:hAnsi="仿宋"/>
          <w:b/>
          <w:szCs w:val="32"/>
          <w:lang w:eastAsia="zh-CN"/>
        </w:rPr>
        <w:t>事业单位医疗</w:t>
      </w:r>
      <w:r>
        <w:rPr>
          <w:rFonts w:hint="eastAsia" w:ascii="仿宋_GB2312" w:hAnsi="仿宋"/>
          <w:b/>
          <w:szCs w:val="32"/>
        </w:rPr>
        <w:t>（项）</w:t>
      </w:r>
      <w:r>
        <w:rPr>
          <w:rFonts w:hint="eastAsia" w:ascii="仿宋_GB2312" w:hAnsi="仿宋"/>
          <w:szCs w:val="32"/>
        </w:rPr>
        <w:t>。年初预算为</w:t>
      </w:r>
      <w:r>
        <w:rPr>
          <w:rFonts w:hint="eastAsia" w:ascii="仿宋_GB2312" w:hAnsi="仿宋"/>
          <w:szCs w:val="32"/>
          <w:lang w:val="en-US" w:eastAsia="zh-CN"/>
        </w:rPr>
        <w:t>51.69</w:t>
      </w:r>
      <w:r>
        <w:rPr>
          <w:rFonts w:hint="eastAsia" w:ascii="仿宋_GB2312" w:hAnsi="仿宋"/>
          <w:szCs w:val="32"/>
        </w:rPr>
        <w:t>万元，支出决算为</w:t>
      </w:r>
      <w:r>
        <w:rPr>
          <w:rFonts w:hint="eastAsia" w:ascii="仿宋_GB2312" w:hAnsi="仿宋"/>
          <w:szCs w:val="32"/>
          <w:lang w:val="en-US" w:eastAsia="zh-CN"/>
        </w:rPr>
        <w:t>35.42</w:t>
      </w:r>
      <w:r>
        <w:rPr>
          <w:rFonts w:hint="eastAsia" w:ascii="仿宋_GB2312" w:hAnsi="仿宋"/>
          <w:szCs w:val="32"/>
        </w:rPr>
        <w:t>万元，完成年初预算</w:t>
      </w:r>
      <w:r>
        <w:rPr>
          <w:rFonts w:hint="eastAsia" w:ascii="仿宋_GB2312" w:hAnsi="仿宋"/>
          <w:szCs w:val="32"/>
          <w:highlight w:val="none"/>
        </w:rPr>
        <w:t>的</w:t>
      </w:r>
      <w:r>
        <w:rPr>
          <w:rFonts w:hint="eastAsia" w:ascii="仿宋_GB2312" w:hAnsi="仿宋"/>
          <w:szCs w:val="32"/>
          <w:highlight w:val="none"/>
          <w:lang w:val="en-US" w:eastAsia="zh-CN"/>
        </w:rPr>
        <w:t>68.52</w:t>
      </w:r>
      <w:r>
        <w:rPr>
          <w:rFonts w:hint="eastAsia" w:ascii="仿宋_GB2312" w:hAnsi="仿宋"/>
          <w:szCs w:val="32"/>
          <w:highlight w:val="none"/>
        </w:rPr>
        <w:t>%，决算数小于预算数的主要原因是</w:t>
      </w:r>
      <w:r>
        <w:rPr>
          <w:rFonts w:hint="eastAsia" w:ascii="仿宋_GB2312" w:hAnsi="仿宋"/>
          <w:szCs w:val="32"/>
          <w:highlight w:val="none"/>
          <w:lang w:val="en-US" w:eastAsia="zh-CN"/>
        </w:rPr>
        <w:t>2020年计划新增人员于12月才正式到岗</w:t>
      </w:r>
      <w:r>
        <w:rPr>
          <w:rFonts w:hint="eastAsia" w:ascii="仿宋_GB2312" w:hAnsi="仿宋"/>
          <w:szCs w:val="32"/>
          <w:highlight w:val="none"/>
        </w:rPr>
        <w:t>。</w:t>
      </w:r>
    </w:p>
    <w:p>
      <w:pPr>
        <w:ind w:firstLine="643" w:firstLineChars="200"/>
        <w:rPr>
          <w:rFonts w:hint="eastAsia" w:ascii="仿宋_GB2312" w:hAnsi="仿宋"/>
          <w:szCs w:val="32"/>
          <w:highlight w:val="none"/>
        </w:rPr>
      </w:pPr>
      <w:r>
        <w:rPr>
          <w:rFonts w:ascii="仿宋_GB2312" w:hAnsi="仿宋"/>
          <w:b/>
          <w:szCs w:val="32"/>
          <w:highlight w:val="none"/>
        </w:rPr>
        <w:t xml:space="preserve">3. </w:t>
      </w:r>
      <w:r>
        <w:rPr>
          <w:rFonts w:hint="eastAsia" w:ascii="仿宋_GB2312" w:hAnsi="仿宋"/>
          <w:b/>
          <w:szCs w:val="32"/>
          <w:highlight w:val="none"/>
        </w:rPr>
        <w:t>住房保障支出（类）住房改革支出（款）住房公积金（项）</w:t>
      </w:r>
      <w:r>
        <w:rPr>
          <w:rFonts w:hint="eastAsia" w:ascii="仿宋_GB2312" w:hAnsi="仿宋"/>
          <w:b/>
          <w:color w:val="000000"/>
          <w:szCs w:val="32"/>
          <w:highlight w:val="none"/>
        </w:rPr>
        <w:t>。</w:t>
      </w:r>
      <w:r>
        <w:rPr>
          <w:rFonts w:hint="eastAsia" w:ascii="仿宋_GB2312" w:hAnsi="仿宋"/>
          <w:szCs w:val="32"/>
          <w:highlight w:val="none"/>
        </w:rPr>
        <w:t>年初预算为</w:t>
      </w:r>
      <w:r>
        <w:rPr>
          <w:rFonts w:hint="eastAsia" w:ascii="仿宋_GB2312" w:hAnsi="仿宋"/>
          <w:szCs w:val="32"/>
          <w:highlight w:val="none"/>
          <w:lang w:val="en-US" w:eastAsia="zh-CN"/>
        </w:rPr>
        <w:t>87.77</w:t>
      </w:r>
      <w:r>
        <w:rPr>
          <w:rFonts w:hint="eastAsia" w:ascii="仿宋_GB2312" w:hAnsi="仿宋"/>
          <w:szCs w:val="32"/>
          <w:highlight w:val="none"/>
        </w:rPr>
        <w:t>万元，支出决算为</w:t>
      </w:r>
      <w:r>
        <w:rPr>
          <w:rFonts w:hint="eastAsia" w:ascii="仿宋_GB2312" w:hAnsi="仿宋"/>
          <w:szCs w:val="32"/>
          <w:highlight w:val="none"/>
          <w:lang w:val="en-US" w:eastAsia="zh-CN"/>
        </w:rPr>
        <w:t>73</w:t>
      </w:r>
      <w:r>
        <w:rPr>
          <w:rFonts w:hint="eastAsia" w:ascii="仿宋_GB2312" w:hAnsi="仿宋"/>
          <w:szCs w:val="32"/>
          <w:highlight w:val="none"/>
        </w:rPr>
        <w:t>万元，完成年初预算的</w:t>
      </w:r>
      <w:r>
        <w:rPr>
          <w:rFonts w:hint="eastAsia" w:ascii="仿宋_GB2312" w:hAnsi="仿宋"/>
          <w:szCs w:val="32"/>
          <w:highlight w:val="none"/>
          <w:lang w:val="en-US" w:eastAsia="zh-CN"/>
        </w:rPr>
        <w:t>83.17</w:t>
      </w:r>
      <w:r>
        <w:rPr>
          <w:rFonts w:hint="eastAsia" w:ascii="仿宋_GB2312" w:hAnsi="仿宋"/>
          <w:szCs w:val="32"/>
          <w:highlight w:val="none"/>
        </w:rPr>
        <w:t>%，决算数小于预算数的主要原因是</w:t>
      </w:r>
      <w:r>
        <w:rPr>
          <w:rFonts w:hint="eastAsia" w:ascii="仿宋_GB2312" w:hAnsi="仿宋"/>
          <w:szCs w:val="32"/>
          <w:highlight w:val="none"/>
          <w:lang w:val="en-US" w:eastAsia="zh-CN"/>
        </w:rPr>
        <w:t>2020年计划新增人员于12月才正式到岗</w:t>
      </w:r>
      <w:r>
        <w:rPr>
          <w:rFonts w:hint="eastAsia" w:ascii="仿宋_GB2312" w:hAnsi="仿宋"/>
          <w:szCs w:val="32"/>
          <w:highlight w:val="none"/>
        </w:rPr>
        <w:t>。</w:t>
      </w:r>
    </w:p>
    <w:p>
      <w:pPr>
        <w:ind w:firstLine="643" w:firstLineChars="200"/>
        <w:rPr>
          <w:rFonts w:hint="eastAsia" w:ascii="仿宋_GB2312" w:hAnsi="仿宋"/>
          <w:szCs w:val="32"/>
        </w:rPr>
      </w:pPr>
      <w:r>
        <w:rPr>
          <w:rFonts w:hint="eastAsia" w:ascii="仿宋_GB2312" w:hAnsi="仿宋"/>
          <w:b/>
          <w:szCs w:val="32"/>
          <w:lang w:val="en-US" w:eastAsia="zh-CN"/>
        </w:rPr>
        <w:t>4.</w:t>
      </w:r>
      <w:r>
        <w:rPr>
          <w:rFonts w:hint="eastAsia" w:ascii="仿宋_GB2312" w:hAnsi="仿宋"/>
          <w:b/>
          <w:szCs w:val="32"/>
        </w:rPr>
        <w:t>住房保障支出（类）城乡社区住宅（款）住房公积金管理（项）</w:t>
      </w:r>
      <w:r>
        <w:rPr>
          <w:rFonts w:hint="eastAsia" w:ascii="仿宋_GB2312" w:hAnsi="仿宋"/>
          <w:b/>
          <w:color w:val="000000"/>
          <w:szCs w:val="32"/>
        </w:rPr>
        <w:t>。</w:t>
      </w:r>
      <w:r>
        <w:rPr>
          <w:rFonts w:hint="eastAsia" w:ascii="仿宋_GB2312" w:hAnsi="仿宋"/>
          <w:szCs w:val="32"/>
        </w:rPr>
        <w:t>年初预算为</w:t>
      </w:r>
      <w:r>
        <w:rPr>
          <w:rFonts w:hint="eastAsia" w:ascii="仿宋_GB2312" w:hAnsi="仿宋"/>
          <w:szCs w:val="32"/>
          <w:lang w:val="en-US" w:eastAsia="zh-CN"/>
        </w:rPr>
        <w:t>740.29</w:t>
      </w:r>
      <w:r>
        <w:rPr>
          <w:rFonts w:hint="eastAsia" w:ascii="仿宋_GB2312" w:hAnsi="仿宋"/>
          <w:szCs w:val="32"/>
        </w:rPr>
        <w:t>万元，支出决算为</w:t>
      </w:r>
      <w:r>
        <w:rPr>
          <w:rFonts w:hint="eastAsia" w:ascii="仿宋_GB2312" w:hAnsi="仿宋"/>
          <w:szCs w:val="32"/>
          <w:lang w:val="en-US" w:eastAsia="zh-CN"/>
        </w:rPr>
        <w:t>523.46</w:t>
      </w:r>
      <w:r>
        <w:rPr>
          <w:rFonts w:hint="eastAsia" w:ascii="仿宋_GB2312" w:hAnsi="仿宋"/>
          <w:szCs w:val="32"/>
        </w:rPr>
        <w:t>万元，完成年初预算的</w:t>
      </w:r>
      <w:r>
        <w:rPr>
          <w:rFonts w:hint="eastAsia" w:ascii="仿宋_GB2312" w:hAnsi="仿宋"/>
          <w:szCs w:val="32"/>
          <w:lang w:val="en-US" w:eastAsia="zh-CN"/>
        </w:rPr>
        <w:t>70.71</w:t>
      </w:r>
      <w:r>
        <w:rPr>
          <w:rFonts w:hint="eastAsia" w:ascii="仿宋_GB2312" w:hAnsi="仿宋"/>
          <w:szCs w:val="32"/>
        </w:rPr>
        <w:t>%，决算数小于预算数的主要原因</w:t>
      </w:r>
      <w:r>
        <w:rPr>
          <w:rFonts w:hint="eastAsia" w:ascii="仿宋_GB2312" w:hAnsi="仿宋"/>
          <w:szCs w:val="32"/>
          <w:lang w:eastAsia="zh-CN"/>
        </w:rPr>
        <w:t>是</w:t>
      </w:r>
      <w:r>
        <w:rPr>
          <w:rFonts w:hint="eastAsia" w:ascii="仿宋_GB2312" w:hAnsi="仿宋"/>
          <w:szCs w:val="32"/>
        </w:rPr>
        <w:t>软件升级及配套硬件更新</w:t>
      </w:r>
      <w:r>
        <w:rPr>
          <w:rFonts w:hint="eastAsia" w:ascii="仿宋_GB2312" w:hAnsi="仿宋"/>
          <w:color w:val="000000" w:themeColor="text1"/>
          <w:szCs w:val="32"/>
          <w14:textFill>
            <w14:solidFill>
              <w14:schemeClr w14:val="tx1"/>
            </w14:solidFill>
          </w14:textFill>
        </w:rPr>
        <w:t>部分项目费用未全部支付</w:t>
      </w:r>
      <w:r>
        <w:rPr>
          <w:rFonts w:hint="eastAsia" w:ascii="仿宋_GB2312" w:hAnsi="仿宋"/>
          <w:szCs w:val="32"/>
        </w:rPr>
        <w:t>。</w:t>
      </w:r>
    </w:p>
    <w:p>
      <w:pPr>
        <w:ind w:firstLine="640" w:firstLineChars="200"/>
        <w:outlineLvl w:val="2"/>
        <w:rPr>
          <w:rFonts w:hint="eastAsia" w:ascii="黑体" w:hAnsi="仿宋" w:eastAsia="黑体"/>
          <w:szCs w:val="32"/>
        </w:rPr>
      </w:pPr>
      <w:r>
        <w:rPr>
          <w:rFonts w:hint="eastAsia" w:ascii="黑体" w:hAnsi="仿宋" w:eastAsia="黑体"/>
          <w:szCs w:val="32"/>
        </w:rPr>
        <w:t>六、一般公共预算财政拨款基本支出决算情况说明</w:t>
      </w:r>
    </w:p>
    <w:p>
      <w:pPr>
        <w:ind w:firstLine="640" w:firstLineChars="200"/>
        <w:rPr>
          <w:rFonts w:hint="eastAsia" w:ascii="仿宋_GB2312" w:hAnsi="仿宋"/>
          <w:szCs w:val="32"/>
        </w:rPr>
      </w:pPr>
      <w:r>
        <w:rPr>
          <w:rFonts w:hint="eastAsia" w:ascii="仿宋_GB2312" w:hAnsi="仿宋"/>
          <w:szCs w:val="32"/>
        </w:rPr>
        <w:t>2020年度财政拨款基本支出</w:t>
      </w:r>
      <w:r>
        <w:rPr>
          <w:rFonts w:hint="eastAsia" w:ascii="仿宋_GB2312" w:hAnsi="仿宋"/>
          <w:szCs w:val="32"/>
          <w:lang w:val="en-US" w:eastAsia="zh-CN"/>
        </w:rPr>
        <w:t>1009.59</w:t>
      </w:r>
      <w:r>
        <w:rPr>
          <w:rFonts w:hint="eastAsia" w:ascii="仿宋_GB2312" w:hAnsi="仿宋"/>
          <w:szCs w:val="32"/>
        </w:rPr>
        <w:t>万元，其中</w:t>
      </w:r>
      <w:r>
        <w:rPr>
          <w:rFonts w:hint="eastAsia" w:ascii="仿宋_GB2312" w:hAnsi="仿宋"/>
          <w:color w:val="000000"/>
          <w:szCs w:val="32"/>
        </w:rPr>
        <w:t>：</w:t>
      </w:r>
      <w:r>
        <w:rPr>
          <w:rFonts w:hint="eastAsia" w:ascii="仿宋_GB2312" w:hAnsi="仿宋"/>
          <w:szCs w:val="32"/>
        </w:rPr>
        <w:t>人员经费</w:t>
      </w:r>
      <w:r>
        <w:rPr>
          <w:rFonts w:hint="eastAsia" w:ascii="仿宋_GB2312" w:hAnsi="仿宋"/>
          <w:szCs w:val="32"/>
          <w:lang w:val="en-US" w:eastAsia="zh-CN"/>
        </w:rPr>
        <w:t>936.70</w:t>
      </w:r>
      <w:r>
        <w:rPr>
          <w:rFonts w:hint="eastAsia" w:ascii="仿宋_GB2312" w:hAnsi="仿宋"/>
          <w:szCs w:val="32"/>
        </w:rPr>
        <w:t>万元，主要包括:基本工资、津贴补贴、奖金、机关事业单位基本养老保险费、职业年金缴费、职工基本医疗保险缴费、其他社会保障缴费、住房公积金、退休费、奖励金</w:t>
      </w:r>
      <w:r>
        <w:rPr>
          <w:rFonts w:hint="eastAsia" w:ascii="仿宋_GB2312" w:hAnsi="仿宋"/>
          <w:szCs w:val="32"/>
          <w:lang w:eastAsia="zh-CN"/>
        </w:rPr>
        <w:t>、对个人和家庭的补助</w:t>
      </w:r>
      <w:r>
        <w:rPr>
          <w:rFonts w:hint="eastAsia" w:ascii="仿宋_GB2312" w:hAnsi="仿宋"/>
          <w:szCs w:val="32"/>
        </w:rPr>
        <w:t>；公用经费</w:t>
      </w:r>
      <w:r>
        <w:rPr>
          <w:rFonts w:hint="eastAsia" w:ascii="仿宋_GB2312" w:hAnsi="仿宋"/>
          <w:szCs w:val="32"/>
          <w:lang w:val="en-US" w:eastAsia="zh-CN"/>
        </w:rPr>
        <w:t>72.89</w:t>
      </w:r>
      <w:r>
        <w:rPr>
          <w:rFonts w:hint="eastAsia" w:ascii="仿宋_GB2312" w:hAnsi="仿宋"/>
          <w:szCs w:val="32"/>
        </w:rPr>
        <w:t>万元，主要包括：办公费、邮电费、差旅费、公务接待费、工会经费、福利费、公务用车运行维护费等。</w:t>
      </w:r>
    </w:p>
    <w:p>
      <w:pPr>
        <w:ind w:firstLine="640" w:firstLineChars="200"/>
        <w:outlineLvl w:val="2"/>
        <w:rPr>
          <w:rFonts w:hint="eastAsia" w:ascii="黑体" w:hAnsi="黑体" w:eastAsia="黑体"/>
          <w:szCs w:val="32"/>
        </w:rPr>
      </w:pPr>
      <w:r>
        <w:rPr>
          <w:rFonts w:hint="eastAsia" w:ascii="黑体" w:hAnsi="仿宋" w:eastAsia="黑体"/>
          <w:szCs w:val="32"/>
        </w:rPr>
        <w:t>七、</w:t>
      </w:r>
      <w:r>
        <w:rPr>
          <w:rFonts w:hint="eastAsia" w:ascii="黑体" w:hAnsi="黑体" w:eastAsia="黑体"/>
          <w:szCs w:val="32"/>
        </w:rPr>
        <w:t>政府性基金财政拨款收入支出决算情况说明</w:t>
      </w:r>
    </w:p>
    <w:p>
      <w:pPr>
        <w:adjustRightInd w:val="0"/>
        <w:snapToGrid w:val="0"/>
        <w:spacing w:line="600" w:lineRule="exact"/>
        <w:ind w:firstLine="640" w:firstLineChars="200"/>
        <w:outlineLvl w:val="9"/>
        <w:rPr>
          <w:rFonts w:hint="eastAsia" w:ascii="仿宋_GB2312" w:hAnsi="仿宋"/>
          <w:szCs w:val="32"/>
        </w:rPr>
      </w:pPr>
      <w:r>
        <w:rPr>
          <w:rFonts w:hint="eastAsia" w:ascii="仿宋_GB2312" w:hAnsi="仿宋"/>
          <w:szCs w:val="32"/>
        </w:rPr>
        <w:t>黄山市住房公积金管理中心没有政府性基金收入，也没有使用政府性基金安排的支出。</w:t>
      </w:r>
    </w:p>
    <w:p>
      <w:pPr>
        <w:ind w:firstLine="640" w:firstLineChars="200"/>
        <w:outlineLvl w:val="2"/>
        <w:rPr>
          <w:rFonts w:hint="eastAsia" w:ascii="黑体" w:hAnsi="黑体" w:eastAsia="黑体"/>
          <w:szCs w:val="32"/>
        </w:rPr>
      </w:pPr>
      <w:r>
        <w:rPr>
          <w:rFonts w:hint="eastAsia" w:ascii="黑体" w:hAnsi="黑体" w:eastAsia="黑体"/>
          <w:szCs w:val="32"/>
        </w:rPr>
        <w:t>八、国有资本经营预算财政拨款支出情况说明</w:t>
      </w:r>
    </w:p>
    <w:p>
      <w:pPr>
        <w:adjustRightInd w:val="0"/>
        <w:snapToGrid w:val="0"/>
        <w:spacing w:line="600" w:lineRule="exact"/>
        <w:ind w:firstLine="640" w:firstLineChars="200"/>
        <w:outlineLvl w:val="9"/>
        <w:rPr>
          <w:rFonts w:hint="eastAsia" w:ascii="仿宋_GB2312" w:hAnsi="仿宋"/>
          <w:szCs w:val="32"/>
        </w:rPr>
      </w:pPr>
      <w:r>
        <w:rPr>
          <w:rFonts w:hint="eastAsia" w:ascii="仿宋_GB2312" w:hAnsi="仿宋"/>
          <w:szCs w:val="32"/>
          <w:lang w:eastAsia="zh-CN"/>
        </w:rPr>
        <w:t>黄山市住房公积金管理中心</w:t>
      </w:r>
      <w:r>
        <w:rPr>
          <w:rFonts w:hint="eastAsia" w:ascii="仿宋_GB2312" w:hAnsi="仿宋"/>
          <w:szCs w:val="32"/>
        </w:rPr>
        <w:t>没有使用国有资本经营预算财政拨款安排的支出。</w:t>
      </w:r>
    </w:p>
    <w:p>
      <w:pPr>
        <w:adjustRightInd w:val="0"/>
        <w:snapToGrid w:val="0"/>
        <w:spacing w:line="600" w:lineRule="exact"/>
        <w:ind w:firstLine="640" w:firstLineChars="200"/>
        <w:outlineLvl w:val="2"/>
        <w:rPr>
          <w:rFonts w:hint="eastAsia" w:ascii="黑体" w:hAnsi="黑体" w:eastAsia="黑体"/>
          <w:szCs w:val="32"/>
        </w:rPr>
      </w:pPr>
      <w:r>
        <w:rPr>
          <w:rFonts w:hint="eastAsia" w:ascii="黑体" w:hAnsi="黑体" w:eastAsia="黑体"/>
          <w:szCs w:val="32"/>
        </w:rPr>
        <w:t>九、其他重要事项情况说明</w:t>
      </w:r>
    </w:p>
    <w:p>
      <w:pPr>
        <w:adjustRightInd w:val="0"/>
        <w:snapToGrid w:val="0"/>
        <w:spacing w:line="600" w:lineRule="exact"/>
        <w:ind w:firstLine="643" w:firstLineChars="200"/>
        <w:outlineLvl w:val="3"/>
        <w:rPr>
          <w:rFonts w:hint="eastAsia" w:ascii="仿宋_GB2312" w:hAnsi="楷体"/>
          <w:b/>
          <w:szCs w:val="32"/>
        </w:rPr>
      </w:pPr>
      <w:r>
        <w:rPr>
          <w:rFonts w:hint="eastAsia" w:ascii="仿宋_GB2312" w:hAnsi="楷体"/>
          <w:b/>
          <w:szCs w:val="32"/>
        </w:rPr>
        <w:t>（一）机关运行经费支出情况。</w:t>
      </w:r>
    </w:p>
    <w:p>
      <w:pPr>
        <w:adjustRightInd w:val="0"/>
        <w:snapToGrid w:val="0"/>
        <w:spacing w:line="600" w:lineRule="exact"/>
        <w:ind w:firstLine="640" w:firstLineChars="200"/>
        <w:outlineLvl w:val="9"/>
        <w:rPr>
          <w:rFonts w:hint="eastAsia" w:ascii="仿宋_GB2312" w:hAnsi="仿宋"/>
          <w:szCs w:val="32"/>
          <w:lang w:eastAsia="zh-CN"/>
        </w:rPr>
      </w:pPr>
      <w:r>
        <w:rPr>
          <w:rFonts w:hint="eastAsia" w:ascii="仿宋_GB2312" w:hAnsi="仿宋"/>
          <w:szCs w:val="32"/>
          <w:lang w:eastAsia="zh-CN"/>
        </w:rPr>
        <w:t>黄山市住房公积金管理中心</w:t>
      </w:r>
      <w:r>
        <w:rPr>
          <w:rFonts w:hint="eastAsia" w:ascii="仿宋_GB2312" w:hAnsi="仿宋"/>
          <w:szCs w:val="32"/>
        </w:rPr>
        <w:t>为事业单位，按照财政部部门决算机关运行经费的口径，本年度机关运行经费为0</w:t>
      </w:r>
      <w:r>
        <w:rPr>
          <w:rFonts w:hint="eastAsia" w:ascii="仿宋_GB2312" w:hAnsi="仿宋"/>
          <w:szCs w:val="32"/>
          <w:lang w:eastAsia="zh-CN"/>
        </w:rPr>
        <w:t>。</w:t>
      </w:r>
    </w:p>
    <w:p>
      <w:pPr>
        <w:adjustRightInd w:val="0"/>
        <w:snapToGrid w:val="0"/>
        <w:spacing w:line="600" w:lineRule="exact"/>
        <w:ind w:firstLine="643" w:firstLineChars="200"/>
        <w:outlineLvl w:val="3"/>
        <w:rPr>
          <w:rFonts w:hint="eastAsia" w:ascii="仿宋_GB2312" w:hAnsi="楷体"/>
          <w:b/>
          <w:szCs w:val="32"/>
          <w:highlight w:val="none"/>
        </w:rPr>
      </w:pPr>
      <w:r>
        <w:rPr>
          <w:rFonts w:hint="eastAsia" w:ascii="仿宋_GB2312" w:hAnsi="楷体"/>
          <w:b/>
          <w:szCs w:val="32"/>
          <w:highlight w:val="none"/>
        </w:rPr>
        <w:t>（二）政府采购支出情况。</w:t>
      </w:r>
    </w:p>
    <w:p>
      <w:pPr>
        <w:adjustRightInd w:val="0"/>
        <w:snapToGrid w:val="0"/>
        <w:spacing w:line="600" w:lineRule="exact"/>
        <w:ind w:firstLine="640" w:firstLineChars="200"/>
        <w:rPr>
          <w:rFonts w:hint="eastAsia" w:ascii="仿宋_GB2312" w:hAnsi="楷体"/>
          <w:szCs w:val="32"/>
          <w:highlight w:val="none"/>
        </w:rPr>
      </w:pPr>
      <w:r>
        <w:rPr>
          <w:rFonts w:hint="eastAsia" w:ascii="仿宋_GB2312" w:hAnsi="仿宋"/>
          <w:szCs w:val="32"/>
          <w:highlight w:val="none"/>
        </w:rPr>
        <w:t>2020年度，</w:t>
      </w:r>
      <w:r>
        <w:rPr>
          <w:rFonts w:hint="eastAsia" w:ascii="仿宋_GB2312" w:hAnsi="仿宋"/>
          <w:szCs w:val="32"/>
          <w:highlight w:val="none"/>
          <w:lang w:val="en-US" w:eastAsia="zh-CN"/>
        </w:rPr>
        <w:t>黄山市</w:t>
      </w:r>
      <w:r>
        <w:rPr>
          <w:rFonts w:hint="eastAsia" w:ascii="仿宋_GB2312" w:hAnsi="仿宋"/>
          <w:szCs w:val="32"/>
          <w:highlight w:val="none"/>
          <w:lang w:eastAsia="zh-CN"/>
        </w:rPr>
        <w:t>住房公积金管理中心</w:t>
      </w:r>
      <w:r>
        <w:rPr>
          <w:rFonts w:hint="eastAsia" w:ascii="仿宋_GB2312" w:hAnsi="仿宋"/>
          <w:szCs w:val="32"/>
          <w:highlight w:val="none"/>
        </w:rPr>
        <w:t>政府采购支出总额</w:t>
      </w:r>
      <w:r>
        <w:rPr>
          <w:rFonts w:hint="eastAsia" w:ascii="仿宋_GB2312" w:hAnsi="仿宋"/>
          <w:szCs w:val="32"/>
          <w:highlight w:val="none"/>
          <w:lang w:val="en-US" w:eastAsia="zh-CN"/>
        </w:rPr>
        <w:t>4.04</w:t>
      </w:r>
      <w:r>
        <w:rPr>
          <w:rFonts w:hint="eastAsia" w:ascii="仿宋_GB2312" w:hAnsi="仿宋"/>
          <w:szCs w:val="32"/>
          <w:highlight w:val="none"/>
        </w:rPr>
        <w:t>万元，其中：政府采购货物支出</w:t>
      </w:r>
      <w:r>
        <w:rPr>
          <w:rFonts w:hint="eastAsia" w:ascii="仿宋_GB2312" w:hAnsi="仿宋"/>
          <w:szCs w:val="32"/>
          <w:highlight w:val="none"/>
          <w:lang w:val="en-US" w:eastAsia="zh-CN"/>
        </w:rPr>
        <w:t>4.04</w:t>
      </w:r>
      <w:r>
        <w:rPr>
          <w:rFonts w:hint="eastAsia" w:ascii="仿宋_GB2312" w:hAnsi="仿宋"/>
          <w:szCs w:val="32"/>
          <w:highlight w:val="none"/>
        </w:rPr>
        <w:t>万元</w:t>
      </w:r>
      <w:r>
        <w:rPr>
          <w:rFonts w:hint="eastAsia" w:ascii="仿宋_GB2312" w:hAnsi="仿宋"/>
          <w:szCs w:val="32"/>
          <w:highlight w:val="none"/>
        </w:rPr>
        <w:t>。</w:t>
      </w:r>
    </w:p>
    <w:p>
      <w:pPr>
        <w:adjustRightInd w:val="0"/>
        <w:snapToGrid w:val="0"/>
        <w:spacing w:line="600" w:lineRule="exact"/>
        <w:ind w:firstLine="643" w:firstLineChars="200"/>
        <w:outlineLvl w:val="3"/>
        <w:rPr>
          <w:rFonts w:hint="eastAsia" w:ascii="仿宋_GB2312" w:hAnsi="楷体"/>
          <w:b/>
          <w:szCs w:val="32"/>
          <w:highlight w:val="none"/>
        </w:rPr>
      </w:pPr>
      <w:r>
        <w:rPr>
          <w:rFonts w:hint="eastAsia" w:ascii="仿宋_GB2312" w:hAnsi="楷体"/>
          <w:b/>
          <w:szCs w:val="32"/>
          <w:highlight w:val="none"/>
        </w:rPr>
        <w:t>（三）国有资产占有使用情况。</w:t>
      </w:r>
    </w:p>
    <w:p>
      <w:pPr>
        <w:adjustRightInd w:val="0"/>
        <w:snapToGrid w:val="0"/>
        <w:spacing w:line="600" w:lineRule="exact"/>
        <w:ind w:firstLine="640" w:firstLineChars="200"/>
        <w:outlineLvl w:val="9"/>
        <w:rPr>
          <w:rFonts w:hint="eastAsia" w:ascii="仿宋_GB2312" w:hAnsi="仿宋"/>
          <w:szCs w:val="32"/>
        </w:rPr>
      </w:pPr>
      <w:r>
        <w:rPr>
          <w:rFonts w:hint="eastAsia" w:ascii="仿宋_GB2312" w:hAnsi="楷体"/>
          <w:szCs w:val="32"/>
        </w:rPr>
        <w:t>截至2020年12月31日，</w:t>
      </w:r>
      <w:r>
        <w:rPr>
          <w:rFonts w:hint="eastAsia" w:ascii="仿宋_GB2312" w:hAnsi="楷体"/>
          <w:szCs w:val="32"/>
          <w:lang w:val="en-US" w:eastAsia="zh-CN"/>
        </w:rPr>
        <w:t>黄山市</w:t>
      </w:r>
      <w:r>
        <w:rPr>
          <w:rFonts w:hint="eastAsia" w:ascii="仿宋_GB2312" w:hAnsi="仿宋"/>
          <w:szCs w:val="32"/>
          <w:lang w:eastAsia="zh-CN"/>
        </w:rPr>
        <w:t>住房公积金管理中心</w:t>
      </w:r>
      <w:r>
        <w:rPr>
          <w:rFonts w:hint="eastAsia" w:ascii="仿宋_GB2312" w:hAnsi="仿宋"/>
          <w:szCs w:val="32"/>
        </w:rPr>
        <w:t>共有车辆</w:t>
      </w:r>
      <w:r>
        <w:rPr>
          <w:rFonts w:hint="eastAsia" w:ascii="仿宋_GB2312" w:hAnsi="仿宋"/>
          <w:szCs w:val="32"/>
          <w:lang w:val="en-US" w:eastAsia="zh-CN"/>
        </w:rPr>
        <w:t>1</w:t>
      </w:r>
      <w:r>
        <w:rPr>
          <w:rFonts w:hint="eastAsia" w:ascii="仿宋_GB2312" w:hAnsi="仿宋"/>
          <w:szCs w:val="32"/>
        </w:rPr>
        <w:t>辆，其中：其他用车</w:t>
      </w:r>
      <w:r>
        <w:rPr>
          <w:rFonts w:hint="eastAsia" w:ascii="仿宋_GB2312" w:hAnsi="仿宋"/>
          <w:szCs w:val="32"/>
          <w:lang w:val="en-US" w:eastAsia="zh-CN"/>
        </w:rPr>
        <w:t>1</w:t>
      </w:r>
      <w:r>
        <w:rPr>
          <w:rFonts w:hint="eastAsia" w:ascii="仿宋_GB2312" w:hAnsi="仿宋"/>
          <w:szCs w:val="32"/>
        </w:rPr>
        <w:t>辆；单价50万元以上的通用设备</w:t>
      </w:r>
      <w:r>
        <w:rPr>
          <w:rFonts w:hint="eastAsia" w:ascii="仿宋_GB2312" w:hAnsi="仿宋"/>
          <w:szCs w:val="32"/>
          <w:lang w:val="en-US" w:eastAsia="zh-CN"/>
        </w:rPr>
        <w:t>0</w:t>
      </w:r>
      <w:r>
        <w:rPr>
          <w:rFonts w:hint="eastAsia" w:ascii="仿宋_GB2312" w:hAnsi="仿宋"/>
          <w:szCs w:val="32"/>
        </w:rPr>
        <w:t>台（套），单价100万</w:t>
      </w:r>
      <w:r>
        <w:rPr>
          <w:rFonts w:hint="eastAsia" w:ascii="仿宋_GB2312" w:hAnsi="仿宋"/>
          <w:color w:val="auto"/>
          <w:szCs w:val="32"/>
        </w:rPr>
        <w:t>元</w:t>
      </w:r>
      <w:r>
        <w:rPr>
          <w:rFonts w:hint="eastAsia" w:ascii="仿宋_GB2312" w:hAnsi="仿宋"/>
          <w:szCs w:val="32"/>
        </w:rPr>
        <w:t>以上专用设备</w:t>
      </w:r>
      <w:r>
        <w:rPr>
          <w:rFonts w:hint="eastAsia" w:ascii="仿宋_GB2312" w:hAnsi="仿宋"/>
          <w:szCs w:val="32"/>
          <w:lang w:val="en-US" w:eastAsia="zh-CN"/>
        </w:rPr>
        <w:t>0</w:t>
      </w:r>
      <w:r>
        <w:rPr>
          <w:rFonts w:hint="eastAsia" w:ascii="仿宋_GB2312" w:hAnsi="仿宋"/>
          <w:szCs w:val="32"/>
        </w:rPr>
        <w:t>台（套）。</w:t>
      </w:r>
    </w:p>
    <w:p>
      <w:pPr>
        <w:numPr>
          <w:ilvl w:val="0"/>
          <w:numId w:val="2"/>
        </w:numPr>
        <w:spacing w:line="560" w:lineRule="exact"/>
        <w:ind w:firstLine="643" w:firstLineChars="200"/>
        <w:outlineLvl w:val="3"/>
        <w:rPr>
          <w:rFonts w:hint="eastAsia" w:ascii="仿宋_GB2312" w:hAnsi="仿宋"/>
          <w:b/>
          <w:szCs w:val="32"/>
        </w:rPr>
      </w:pPr>
      <w:r>
        <w:rPr>
          <w:rFonts w:hint="eastAsia" w:ascii="仿宋_GB2312" w:hAnsi="仿宋"/>
          <w:b/>
          <w:szCs w:val="32"/>
        </w:rPr>
        <w:t>关于2020年度预算绩效情况说明</w:t>
      </w:r>
    </w:p>
    <w:p>
      <w:pPr>
        <w:adjustRightInd w:val="0"/>
        <w:snapToGrid w:val="0"/>
        <w:spacing w:line="600" w:lineRule="exact"/>
        <w:ind w:firstLine="643" w:firstLineChars="200"/>
        <w:outlineLvl w:val="4"/>
        <w:rPr>
          <w:rFonts w:hint="eastAsia" w:ascii="仿宋_GB2312" w:hAnsi="仿宋"/>
          <w:b/>
          <w:bCs/>
          <w:szCs w:val="32"/>
        </w:rPr>
      </w:pPr>
      <w:r>
        <w:rPr>
          <w:rFonts w:hint="eastAsia" w:ascii="仿宋_GB2312" w:hAnsi="仿宋"/>
          <w:b/>
          <w:bCs/>
          <w:szCs w:val="32"/>
        </w:rPr>
        <w:t>1</w:t>
      </w:r>
      <w:r>
        <w:rPr>
          <w:rFonts w:hint="default" w:ascii="仿宋_GB2312" w:hAnsi="仿宋"/>
          <w:b/>
          <w:bCs/>
          <w:szCs w:val="32"/>
          <w:lang w:val="en-US"/>
        </w:rPr>
        <w:t>.</w:t>
      </w:r>
      <w:r>
        <w:rPr>
          <w:rFonts w:hint="eastAsia" w:ascii="仿宋_GB2312" w:hAnsi="仿宋"/>
          <w:b/>
          <w:bCs/>
          <w:szCs w:val="32"/>
        </w:rPr>
        <w:t>预算绩效管理工作开展情况。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
          <w:szCs w:val="32"/>
        </w:rPr>
        <w:t>根据预算绩效管理要求，本部门组织对2020年度纳入部门预算的</w:t>
      </w:r>
      <w:r>
        <w:rPr>
          <w:rFonts w:hint="eastAsia" w:ascii="仿宋_GB2312" w:hAnsi="仿宋"/>
          <w:szCs w:val="32"/>
          <w:lang w:eastAsia="zh-CN"/>
        </w:rPr>
        <w:t>所有</w:t>
      </w:r>
      <w:r>
        <w:rPr>
          <w:rFonts w:hint="eastAsia" w:ascii="仿宋_GB2312" w:hAnsi="仿宋"/>
          <w:szCs w:val="32"/>
        </w:rPr>
        <w:t>项目支出开展了绩效自评，共</w:t>
      </w:r>
      <w:r>
        <w:rPr>
          <w:rFonts w:hint="eastAsia" w:ascii="仿宋_GB2312" w:hAnsi="仿宋"/>
          <w:szCs w:val="32"/>
          <w:lang w:val="en-US" w:eastAsia="zh-CN"/>
        </w:rPr>
        <w:t>3</w:t>
      </w:r>
      <w:r>
        <w:rPr>
          <w:rFonts w:hint="eastAsia" w:ascii="仿宋_GB2312" w:hAnsi="仿宋"/>
          <w:szCs w:val="32"/>
        </w:rPr>
        <w:t>个项目，涉及资金</w:t>
      </w:r>
      <w:r>
        <w:rPr>
          <w:rFonts w:hint="eastAsia" w:ascii="仿宋_GB2312" w:hAnsi="仿宋"/>
          <w:szCs w:val="32"/>
          <w:lang w:val="en-US" w:eastAsia="zh-CN"/>
        </w:rPr>
        <w:t>740.29</w:t>
      </w:r>
      <w:r>
        <w:rPr>
          <w:rFonts w:hint="eastAsia" w:ascii="仿宋_GB2312" w:hAnsi="仿宋"/>
          <w:szCs w:val="32"/>
        </w:rPr>
        <w:t>万元，占项目预算总额的</w:t>
      </w:r>
      <w:r>
        <w:rPr>
          <w:rFonts w:hint="eastAsia" w:ascii="仿宋_GB2312" w:hAnsi="仿宋"/>
          <w:szCs w:val="32"/>
          <w:lang w:val="en-US" w:eastAsia="zh-CN"/>
        </w:rPr>
        <w:t>37.52</w:t>
      </w:r>
      <w:r>
        <w:rPr>
          <w:rFonts w:hint="eastAsia" w:ascii="仿宋_GB2312" w:hAnsi="仿宋"/>
          <w:szCs w:val="32"/>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分别是：1.“购置及修缮”，</w:t>
      </w:r>
      <w:r>
        <w:rPr>
          <w:rFonts w:hint="eastAsia" w:ascii="仿宋_GB2312" w:hAnsi="仿宋_GB2312" w:eastAsia="仿宋_GB2312" w:cs="仿宋_GB2312"/>
          <w:color w:val="000000" w:themeColor="text1"/>
          <w:kern w:val="0"/>
          <w:sz w:val="32"/>
          <w:szCs w:val="32"/>
          <w14:textFill>
            <w14:solidFill>
              <w14:schemeClr w14:val="tx1"/>
            </w14:solidFill>
          </w14:textFill>
        </w:rPr>
        <w:t>开展日常事务，保障单位正常运行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支出经费包括：水费、电费、物业费、办公楼维修维护费、办公设备购置费、软件升级及配套硬件更新费等经费支出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2.“事业发展支出”，公用业务支出，包括印刷费、租赁费、会议费、培训费、宣传费等支出；3.“购买服务支出”，</w:t>
      </w:r>
      <w:r>
        <w:rPr>
          <w:rFonts w:hint="eastAsia" w:ascii="仿宋_GB2312" w:hAnsi="仿宋_GB2312" w:eastAsia="仿宋_GB2312" w:cs="仿宋_GB2312"/>
          <w:color w:val="000000" w:themeColor="text1"/>
          <w:kern w:val="0"/>
          <w:sz w:val="32"/>
          <w:szCs w:val="32"/>
          <w14:textFill>
            <w14:solidFill>
              <w14:schemeClr w14:val="tx1"/>
            </w14:solidFill>
          </w14:textFill>
        </w:rPr>
        <w:t>单位临工及劳务派遣人员经费支出。主要包括劳务费、编外人员工资、绩效、一次性</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奖励、各项社会保障费、公积金等支出。  从评价情况看，项目绩效目标合理，各项目较好完成了目标任务，基本达到了预期绩效目标。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组织对“购买服务支出”项目开展了部门评价，共涉及资金234.83万元。该项目由我部门自行组织开展绩效评价。主要用于劳务派遣人员及临工2020年全年工资、绩效、一次性奖励、五险一金的发放缴纳。从评价情况看，项目达到预期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组织对2020年度部门整体支出开展绩效自评。黄山市住房公积金管理中心加强对预算绩效管理工作重视程度。从制定的绩效目标任务及执行效果来看，基本完成了年度目标任务，切实履行了部门职责，项目支出管理规范性较好。</w:t>
      </w:r>
    </w:p>
    <w:p>
      <w:pPr>
        <w:adjustRightInd w:val="0"/>
        <w:snapToGrid w:val="0"/>
        <w:spacing w:line="600" w:lineRule="exact"/>
        <w:ind w:firstLine="643" w:firstLineChars="200"/>
        <w:outlineLvl w:val="4"/>
        <w:rPr>
          <w:rFonts w:hint="eastAsia" w:ascii="仿宋_GB2312" w:hAnsi="仿宋"/>
          <w:b/>
          <w:bCs/>
          <w:szCs w:val="32"/>
        </w:rPr>
      </w:pPr>
      <w:r>
        <w:rPr>
          <w:rFonts w:hint="eastAsia" w:ascii="仿宋_GB2312" w:hAnsi="仿宋"/>
          <w:b/>
          <w:bCs/>
          <w:szCs w:val="32"/>
          <w:lang w:val="en-US" w:eastAsia="zh-CN"/>
        </w:rPr>
        <w:t>2.</w:t>
      </w:r>
      <w:r>
        <w:rPr>
          <w:rFonts w:hint="eastAsia" w:ascii="仿宋_GB2312" w:hAnsi="仿宋"/>
          <w:b/>
          <w:bCs/>
          <w:szCs w:val="32"/>
        </w:rPr>
        <w:t>部门决算中项目绩效自评结果。</w:t>
      </w:r>
    </w:p>
    <w:p>
      <w:pPr>
        <w:adjustRightInd w:val="0"/>
        <w:snapToGrid w:val="0"/>
        <w:spacing w:line="600" w:lineRule="exact"/>
        <w:ind w:firstLine="640" w:firstLineChars="200"/>
        <w:outlineLvl w:val="9"/>
        <w:rPr>
          <w:rFonts w:hint="eastAsia" w:ascii="仿宋_GB2312" w:hAnsi="仿宋"/>
          <w:szCs w:val="32"/>
        </w:rPr>
      </w:pPr>
      <w:r>
        <w:rPr>
          <w:rFonts w:hint="eastAsia" w:ascii="仿宋_GB2312" w:hAnsi="仿宋"/>
          <w:szCs w:val="32"/>
          <w:lang w:eastAsia="zh-CN"/>
        </w:rPr>
        <w:t>黄山市住房公积金管理中心</w:t>
      </w:r>
      <w:r>
        <w:rPr>
          <w:rFonts w:hint="eastAsia" w:ascii="仿宋_GB2312" w:hAnsi="仿宋"/>
          <w:szCs w:val="32"/>
        </w:rPr>
        <w:t>在2020年度部门决算中反映“</w:t>
      </w:r>
      <w:r>
        <w:rPr>
          <w:rFonts w:hint="eastAsia" w:ascii="仿宋_GB2312" w:hAnsi="仿宋"/>
          <w:szCs w:val="32"/>
          <w:lang w:eastAsia="zh-CN"/>
        </w:rPr>
        <w:t>事业发展支出</w:t>
      </w:r>
      <w:r>
        <w:rPr>
          <w:rFonts w:hint="eastAsia" w:ascii="仿宋_GB2312" w:hAnsi="仿宋"/>
          <w:szCs w:val="32"/>
        </w:rPr>
        <w:t>”、“</w:t>
      </w:r>
      <w:r>
        <w:rPr>
          <w:rFonts w:hint="eastAsia" w:ascii="仿宋_GB2312" w:hAnsi="仿宋"/>
          <w:szCs w:val="32"/>
          <w:lang w:eastAsia="zh-CN"/>
        </w:rPr>
        <w:t>购置及修缮</w:t>
      </w:r>
      <w:r>
        <w:rPr>
          <w:rFonts w:hint="eastAsia" w:ascii="仿宋_GB2312" w:hAnsi="仿宋"/>
          <w:szCs w:val="32"/>
        </w:rPr>
        <w:t>”</w:t>
      </w:r>
      <w:r>
        <w:rPr>
          <w:rFonts w:hint="eastAsia" w:ascii="仿宋_GB2312" w:hAnsi="仿宋"/>
          <w:szCs w:val="32"/>
          <w:lang w:eastAsia="zh-CN"/>
        </w:rPr>
        <w:t>、“购买服务支出”</w:t>
      </w:r>
      <w:r>
        <w:rPr>
          <w:rFonts w:hint="eastAsia" w:ascii="仿宋_GB2312" w:hAnsi="仿宋"/>
          <w:szCs w:val="32"/>
        </w:rPr>
        <w:t>等</w:t>
      </w:r>
      <w:r>
        <w:rPr>
          <w:rFonts w:hint="eastAsia" w:ascii="仿宋_GB2312" w:hAnsi="仿宋"/>
          <w:szCs w:val="32"/>
          <w:lang w:val="en-US" w:eastAsia="zh-CN"/>
        </w:rPr>
        <w:t>3</w:t>
      </w:r>
      <w:r>
        <w:rPr>
          <w:rFonts w:hint="eastAsia" w:ascii="仿宋_GB2312" w:hAnsi="仿宋"/>
          <w:szCs w:val="32"/>
        </w:rPr>
        <w:t>个项目绩效自评结果。</w:t>
      </w:r>
    </w:p>
    <w:p>
      <w:pPr>
        <w:adjustRightInd w:val="0"/>
        <w:snapToGrid w:val="0"/>
        <w:spacing w:line="600" w:lineRule="exact"/>
        <w:ind w:firstLine="640" w:firstLineChars="200"/>
        <w:outlineLvl w:val="9"/>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
          <w:szCs w:val="32"/>
          <w:lang w:eastAsia="zh-CN"/>
        </w:rPr>
        <w:t>“事业发展支出”</w:t>
      </w:r>
      <w:r>
        <w:rPr>
          <w:rFonts w:hint="eastAsia" w:ascii="仿宋_GB2312" w:hAnsi="仿宋"/>
          <w:szCs w:val="32"/>
        </w:rPr>
        <w:t>绩效自评综述：根据年初设定的绩效目标，项目绩效自评得分</w:t>
      </w:r>
      <w:r>
        <w:rPr>
          <w:rFonts w:hint="eastAsia" w:ascii="仿宋_GB2312" w:hAnsi="仿宋"/>
          <w:szCs w:val="32"/>
          <w:lang w:val="en-US" w:eastAsia="zh-CN"/>
        </w:rPr>
        <w:t>94.99</w:t>
      </w:r>
      <w:r>
        <w:rPr>
          <w:rFonts w:hint="eastAsia" w:ascii="仿宋_GB2312" w:hAnsi="仿宋"/>
          <w:szCs w:val="32"/>
        </w:rPr>
        <w:t>分。全年预算数为</w:t>
      </w:r>
      <w:r>
        <w:rPr>
          <w:rFonts w:hint="eastAsia" w:ascii="仿宋_GB2312" w:hAnsi="仿宋"/>
          <w:szCs w:val="32"/>
          <w:lang w:val="en-US" w:eastAsia="zh-CN"/>
        </w:rPr>
        <w:t>210.56</w:t>
      </w:r>
      <w:r>
        <w:rPr>
          <w:rFonts w:hint="eastAsia" w:ascii="仿宋_GB2312" w:hAnsi="仿宋"/>
          <w:szCs w:val="32"/>
        </w:rPr>
        <w:t>万元，执行数为</w:t>
      </w:r>
      <w:r>
        <w:rPr>
          <w:rFonts w:hint="eastAsia" w:ascii="仿宋_GB2312" w:hAnsi="仿宋"/>
          <w:szCs w:val="32"/>
          <w:lang w:val="en-US" w:eastAsia="zh-CN"/>
        </w:rPr>
        <w:t>150.85</w:t>
      </w:r>
      <w:r>
        <w:rPr>
          <w:rFonts w:hint="eastAsia" w:ascii="仿宋_GB2312" w:hAnsi="仿宋"/>
          <w:szCs w:val="32"/>
        </w:rPr>
        <w:t>万元，完成预算的</w:t>
      </w:r>
      <w:r>
        <w:rPr>
          <w:rFonts w:hint="eastAsia" w:ascii="仿宋_GB2312" w:hAnsi="仿宋"/>
          <w:szCs w:val="32"/>
          <w:lang w:val="en-US" w:eastAsia="zh-CN"/>
        </w:rPr>
        <w:t>71.64</w:t>
      </w:r>
      <w:r>
        <w:rPr>
          <w:rFonts w:hint="eastAsia" w:ascii="仿宋_GB2312" w:hAnsi="仿宋"/>
          <w:szCs w:val="32"/>
        </w:rPr>
        <w:t>%。项目绩效目标完成情况：</w:t>
      </w:r>
      <w:r>
        <w:rPr>
          <w:rFonts w:hint="eastAsia" w:ascii="仿宋_GB2312" w:hAnsi="仿宋"/>
          <w:szCs w:val="32"/>
          <w:lang w:eastAsia="zh-CN"/>
        </w:rPr>
        <w:t>基本完成了绩效目</w:t>
      </w:r>
      <w:r>
        <w:rPr>
          <w:rFonts w:hint="eastAsia" w:ascii="仿宋_GB2312" w:hAnsi="仿宋"/>
          <w:color w:val="000000" w:themeColor="text1"/>
          <w:szCs w:val="32"/>
          <w:lang w:eastAsia="zh-CN"/>
          <w14:textFill>
            <w14:solidFill>
              <w14:schemeClr w14:val="tx1"/>
            </w14:solidFill>
          </w14:textFill>
        </w:rPr>
        <w:t>标，确保</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公积金</w:t>
      </w:r>
      <w:r>
        <w:rPr>
          <w:rFonts w:ascii="仿宋" w:hAnsi="仿宋" w:eastAsia="仿宋" w:cs="仿宋"/>
          <w:i w:val="0"/>
          <w:caps w:val="0"/>
          <w:color w:val="000000" w:themeColor="text1"/>
          <w:spacing w:val="0"/>
          <w:sz w:val="32"/>
          <w:szCs w:val="32"/>
          <w:shd w:val="clear" w:fill="FFFFFF"/>
          <w14:textFill>
            <w14:solidFill>
              <w14:schemeClr w14:val="tx1"/>
            </w14:solidFill>
          </w14:textFill>
        </w:rPr>
        <w:t>业务工作正常有序进行，进一步提高工作质量和工作效率，履行好部门职责</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
          <w:color w:val="000000" w:themeColor="text1"/>
          <w:szCs w:val="32"/>
          <w14:textFill>
            <w14:solidFill>
              <w14:schemeClr w14:val="tx1"/>
            </w14:solidFill>
          </w14:textFill>
        </w:rPr>
        <w:t>发现的主要问题及原因：</w:t>
      </w:r>
      <w:r>
        <w:rPr>
          <w:rFonts w:hint="eastAsia" w:ascii="仿宋_GB2312" w:hAnsi="仿宋"/>
          <w:color w:val="000000" w:themeColor="text1"/>
          <w:szCs w:val="32"/>
          <w:lang w:eastAsia="zh-CN"/>
          <w14:textFill>
            <w14:solidFill>
              <w14:schemeClr w14:val="tx1"/>
            </w14:solidFill>
          </w14:textFill>
        </w:rPr>
        <w:t>预算完成率不高，主</w:t>
      </w:r>
      <w:r>
        <w:rPr>
          <w:rFonts w:hint="eastAsia" w:ascii="仿宋_GB2312" w:hAnsi="仿宋"/>
          <w:szCs w:val="32"/>
          <w:lang w:eastAsia="zh-CN"/>
        </w:rPr>
        <w:t>要是严格按照财政要求，厉行节约，压减一般性支出</w:t>
      </w:r>
      <w:r>
        <w:rPr>
          <w:rFonts w:hint="eastAsia" w:ascii="仿宋_GB2312" w:hAnsi="仿宋"/>
          <w:szCs w:val="32"/>
        </w:rPr>
        <w:t>。下一步改进措施：</w:t>
      </w:r>
      <w:r>
        <w:rPr>
          <w:rFonts w:hint="eastAsia" w:ascii="仿宋_GB2312" w:hAnsi="仿宋"/>
          <w:szCs w:val="32"/>
          <w:lang w:eastAsia="zh-CN"/>
        </w:rPr>
        <w:t>合理设置预算绩效目标，将</w:t>
      </w:r>
      <w:r>
        <w:rPr>
          <w:rFonts w:hint="eastAsia" w:ascii="仿宋_GB2312" w:hAnsi="仿宋_GB2312" w:eastAsia="仿宋_GB2312" w:cs="仿宋_GB2312"/>
          <w:color w:val="000000" w:themeColor="text1"/>
          <w:sz w:val="32"/>
          <w:szCs w:val="32"/>
          <w14:textFill>
            <w14:solidFill>
              <w14:schemeClr w14:val="tx1"/>
            </w14:solidFill>
          </w14:textFill>
        </w:rPr>
        <w:t>本次结果作为2021年预算制定的重要依据</w:t>
      </w:r>
      <w:r>
        <w:rPr>
          <w:rFonts w:hint="eastAsia" w:ascii="仿宋_GB2312" w:hAnsi="仿宋_GB2312" w:cs="仿宋_GB2312"/>
          <w:color w:val="000000" w:themeColor="text1"/>
          <w:sz w:val="32"/>
          <w:szCs w:val="32"/>
          <w:lang w:eastAsia="zh-CN"/>
          <w14:textFill>
            <w14:solidFill>
              <w14:schemeClr w14:val="tx1"/>
            </w14:solidFill>
          </w14:textFill>
        </w:rPr>
        <w:t>。</w:t>
      </w:r>
    </w:p>
    <w:p>
      <w:pPr>
        <w:adjustRightInd w:val="0"/>
        <w:snapToGrid w:val="0"/>
        <w:spacing w:line="600" w:lineRule="exact"/>
        <w:ind w:firstLine="640" w:firstLineChars="200"/>
        <w:outlineLvl w:val="9"/>
        <w:rPr>
          <w:rFonts w:hint="eastAsia" w:ascii="仿宋_GB2312" w:hAnsi="仿宋_GB2312" w:cs="仿宋_GB2312"/>
          <w:color w:val="000000" w:themeColor="text1"/>
          <w:sz w:val="32"/>
          <w:szCs w:val="32"/>
          <w:lang w:eastAsia="zh-CN"/>
          <w14:textFill>
            <w14:solidFill>
              <w14:schemeClr w14:val="tx1"/>
            </w14:solidFill>
          </w14:textFill>
        </w:rPr>
      </w:pPr>
      <w:r>
        <w:rPr>
          <w:rFonts w:hint="eastAsia" w:ascii="仿宋_GB2312" w:hAnsi="仿宋"/>
          <w:szCs w:val="32"/>
        </w:rPr>
        <w:t>公开上述项目的《项目支出绩效自评表》</w:t>
      </w:r>
    </w:p>
    <w:tbl>
      <w:tblPr>
        <w:tblStyle w:val="5"/>
        <w:tblW w:w="9415" w:type="dxa"/>
        <w:jc w:val="center"/>
        <w:tblInd w:w="0" w:type="dxa"/>
        <w:shd w:val="clear" w:color="auto" w:fill="auto"/>
        <w:tblLayout w:type="fixed"/>
        <w:tblCellMar>
          <w:top w:w="0" w:type="dxa"/>
          <w:left w:w="0" w:type="dxa"/>
          <w:bottom w:w="0" w:type="dxa"/>
          <w:right w:w="0" w:type="dxa"/>
        </w:tblCellMar>
      </w:tblPr>
      <w:tblGrid>
        <w:gridCol w:w="293"/>
        <w:gridCol w:w="561"/>
        <w:gridCol w:w="549"/>
        <w:gridCol w:w="582"/>
        <w:gridCol w:w="718"/>
        <w:gridCol w:w="970"/>
        <w:gridCol w:w="1274"/>
        <w:gridCol w:w="1097"/>
        <w:gridCol w:w="557"/>
        <w:gridCol w:w="440"/>
        <w:gridCol w:w="488"/>
        <w:gridCol w:w="519"/>
        <w:gridCol w:w="519"/>
        <w:gridCol w:w="424"/>
        <w:gridCol w:w="424"/>
      </w:tblGrid>
      <w:tr>
        <w:tblPrEx>
          <w:shd w:val="clear" w:color="auto" w:fill="auto"/>
          <w:tblLayout w:type="fixed"/>
          <w:tblCellMar>
            <w:top w:w="0" w:type="dxa"/>
            <w:left w:w="0" w:type="dxa"/>
            <w:bottom w:w="0" w:type="dxa"/>
            <w:right w:w="0" w:type="dxa"/>
          </w:tblCellMar>
        </w:tblPrEx>
        <w:trPr>
          <w:gridAfter w:val="1"/>
          <w:wAfter w:w="424" w:type="dxa"/>
          <w:trHeight w:val="630" w:hRule="atLeast"/>
          <w:jc w:val="center"/>
        </w:trPr>
        <w:tc>
          <w:tcPr>
            <w:tcW w:w="8991" w:type="dxa"/>
            <w:gridSpan w:val="14"/>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ascii="方正仿宋_GBK" w:hAnsi="方正仿宋_GBK" w:eastAsia="方正仿宋_GBK" w:cs="方正仿宋_GBK"/>
                <w:b/>
                <w:i w:val="0"/>
                <w:color w:val="000000"/>
                <w:sz w:val="36"/>
                <w:szCs w:val="36"/>
                <w:u w:val="none"/>
              </w:rPr>
            </w:pPr>
            <w:r>
              <w:rPr>
                <w:rFonts w:hint="default" w:ascii="方正仿宋_GBK" w:hAnsi="方正仿宋_GBK" w:eastAsia="方正仿宋_GBK" w:cs="方正仿宋_GBK"/>
                <w:b/>
                <w:i w:val="0"/>
                <w:color w:val="000000"/>
                <w:kern w:val="0"/>
                <w:sz w:val="32"/>
                <w:szCs w:val="32"/>
                <w:u w:val="none"/>
                <w:lang w:val="en-US" w:eastAsia="zh-CN" w:bidi="ar"/>
              </w:rPr>
              <w:t>项目支出绩效自评表</w:t>
            </w:r>
          </w:p>
        </w:tc>
      </w:tr>
      <w:tr>
        <w:tblPrEx>
          <w:tblLayout w:type="fixed"/>
          <w:tblCellMar>
            <w:top w:w="0" w:type="dxa"/>
            <w:left w:w="0" w:type="dxa"/>
            <w:bottom w:w="0" w:type="dxa"/>
            <w:right w:w="0" w:type="dxa"/>
          </w:tblCellMar>
        </w:tblPrEx>
        <w:trPr>
          <w:gridAfter w:val="1"/>
          <w:wAfter w:w="424" w:type="dxa"/>
          <w:trHeight w:val="485" w:hRule="atLeast"/>
          <w:jc w:val="center"/>
        </w:trPr>
        <w:tc>
          <w:tcPr>
            <w:tcW w:w="8991" w:type="dxa"/>
            <w:gridSpan w:val="14"/>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2020年度）</w:t>
            </w:r>
          </w:p>
        </w:tc>
      </w:tr>
      <w:tr>
        <w:tblPrEx>
          <w:tblLayout w:type="fixed"/>
          <w:tblCellMar>
            <w:top w:w="0" w:type="dxa"/>
            <w:left w:w="0" w:type="dxa"/>
            <w:bottom w:w="0" w:type="dxa"/>
            <w:right w:w="0" w:type="dxa"/>
          </w:tblCellMar>
        </w:tblPrEx>
        <w:trPr>
          <w:gridBefore w:val="1"/>
          <w:wBefore w:w="293" w:type="dxa"/>
          <w:trHeight w:val="405" w:hRule="atLeast"/>
          <w:jc w:val="center"/>
        </w:trPr>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801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事业发展支出</w:t>
            </w:r>
          </w:p>
        </w:tc>
      </w:tr>
      <w:tr>
        <w:tblPrEx>
          <w:tblLayout w:type="fixed"/>
          <w:tblCellMar>
            <w:top w:w="0" w:type="dxa"/>
            <w:left w:w="0" w:type="dxa"/>
            <w:bottom w:w="0" w:type="dxa"/>
            <w:right w:w="0" w:type="dxa"/>
          </w:tblCellMar>
        </w:tblPrEx>
        <w:trPr>
          <w:gridBefore w:val="1"/>
          <w:wBefore w:w="293" w:type="dxa"/>
          <w:trHeight w:val="660" w:hRule="atLeast"/>
          <w:jc w:val="center"/>
        </w:trPr>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主管部门</w:t>
            </w:r>
          </w:p>
        </w:tc>
        <w:tc>
          <w:tcPr>
            <w:tcW w:w="35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黄山市住房公积金管理中心</w:t>
            </w:r>
          </w:p>
        </w:tc>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实施单位</w:t>
            </w:r>
          </w:p>
        </w:tc>
        <w:tc>
          <w:tcPr>
            <w:tcW w:w="281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黄山市住房公积金管理中心</w:t>
            </w:r>
          </w:p>
        </w:tc>
      </w:tr>
      <w:tr>
        <w:tblPrEx>
          <w:tblLayout w:type="fixed"/>
          <w:tblCellMar>
            <w:top w:w="0" w:type="dxa"/>
            <w:left w:w="0" w:type="dxa"/>
            <w:bottom w:w="0" w:type="dxa"/>
            <w:right w:w="0" w:type="dxa"/>
          </w:tblCellMar>
        </w:tblPrEx>
        <w:trPr>
          <w:gridBefore w:val="1"/>
          <w:wBefore w:w="293" w:type="dxa"/>
          <w:trHeight w:val="645" w:hRule="atLeast"/>
          <w:jc w:val="center"/>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项目资金（万元）</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年初预算数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全年预算数</w:t>
            </w:r>
          </w:p>
        </w:tc>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全年执行数</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分值</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执行率</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gridBefore w:val="1"/>
          <w:wBefore w:w="293" w:type="dxa"/>
          <w:trHeight w:val="700" w:hRule="atLeast"/>
          <w:jc w:val="center"/>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年度资金总额</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210.56</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210.56</w:t>
            </w:r>
          </w:p>
        </w:tc>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cs="仿宋_GB2312"/>
                <w:i w:val="0"/>
                <w:color w:val="000000"/>
                <w:kern w:val="0"/>
                <w:sz w:val="24"/>
                <w:szCs w:val="24"/>
                <w:u w:val="none"/>
                <w:lang w:val="en-US" w:eastAsia="zh-CN" w:bidi="ar"/>
              </w:rPr>
              <w:t>150.85</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cs="仿宋_GB2312"/>
                <w:i w:val="0"/>
                <w:color w:val="000000"/>
                <w:kern w:val="0"/>
                <w:sz w:val="24"/>
                <w:szCs w:val="24"/>
                <w:u w:val="none"/>
                <w:lang w:val="en-US" w:eastAsia="zh-CN" w:bidi="ar"/>
              </w:rPr>
              <w:t>71.64</w:t>
            </w:r>
            <w:r>
              <w:rPr>
                <w:rFonts w:hint="eastAsia" w:ascii="仿宋_GB2312" w:hAnsi="宋体" w:eastAsia="仿宋_GB2312" w:cs="仿宋_GB2312"/>
                <w:i w:val="0"/>
                <w:color w:val="000000"/>
                <w:kern w:val="0"/>
                <w:sz w:val="24"/>
                <w:szCs w:val="24"/>
                <w:u w:val="none"/>
                <w:lang w:val="en-US" w:eastAsia="zh-CN" w:bidi="ar"/>
              </w:rPr>
              <w:t>%</w:t>
            </w: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cs="仿宋_GB2312"/>
                <w:i w:val="0"/>
                <w:color w:val="000000"/>
                <w:kern w:val="0"/>
                <w:sz w:val="24"/>
                <w:szCs w:val="24"/>
                <w:u w:val="none"/>
                <w:lang w:val="en-US" w:eastAsia="zh-CN" w:bidi="ar"/>
              </w:rPr>
              <w:t>7.2</w:t>
            </w:r>
          </w:p>
        </w:tc>
      </w:tr>
      <w:tr>
        <w:tblPrEx>
          <w:tblLayout w:type="fixed"/>
          <w:tblCellMar>
            <w:top w:w="0" w:type="dxa"/>
            <w:left w:w="0" w:type="dxa"/>
            <w:bottom w:w="0" w:type="dxa"/>
            <w:right w:w="0" w:type="dxa"/>
          </w:tblCellMar>
        </w:tblPrEx>
        <w:trPr>
          <w:gridBefore w:val="1"/>
          <w:wBefore w:w="293" w:type="dxa"/>
          <w:trHeight w:val="640" w:hRule="atLeast"/>
          <w:jc w:val="center"/>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其中：当年财政拨款</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gridBefore w:val="1"/>
          <w:wBefore w:w="293" w:type="dxa"/>
          <w:trHeight w:val="620" w:hRule="atLeast"/>
          <w:jc w:val="center"/>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上年结转资金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gridBefore w:val="1"/>
          <w:wBefore w:w="293" w:type="dxa"/>
          <w:trHeight w:val="390" w:hRule="atLeast"/>
          <w:jc w:val="center"/>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其他资金</w:t>
            </w:r>
          </w:p>
        </w:tc>
        <w:tc>
          <w:tcPr>
            <w:tcW w:w="9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gridBefore w:val="1"/>
          <w:wBefore w:w="293" w:type="dxa"/>
          <w:trHeight w:val="525" w:hRule="atLeast"/>
          <w:jc w:val="center"/>
        </w:trPr>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年度总体目标</w:t>
            </w:r>
          </w:p>
        </w:tc>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预期目标</w:t>
            </w:r>
          </w:p>
        </w:tc>
        <w:tc>
          <w:tcPr>
            <w:tcW w:w="446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gridBefore w:val="1"/>
          <w:wBefore w:w="293" w:type="dxa"/>
          <w:trHeight w:val="178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40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根据市委市政府相关文件要求，做好扶贫创城的相关工作，同时用于单位公用业务支出，保障日常业务开展。</w:t>
            </w:r>
          </w:p>
        </w:tc>
        <w:tc>
          <w:tcPr>
            <w:tcW w:w="446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1200" w:hRule="atLeast"/>
          <w:jc w:val="center"/>
        </w:trPr>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绩效指标</w:t>
            </w: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二级指标</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三级指标</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年度指标值</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实际完成值</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分值</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得分</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gridBefore w:val="1"/>
          <w:wBefore w:w="293" w:type="dxa"/>
          <w:trHeight w:val="40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产出指标</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数量指标</w:t>
            </w: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1：印刷份数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≥5000份</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≥5000份</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46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w:t>
            </w:r>
            <w:r>
              <w:rPr>
                <w:rFonts w:hint="eastAsia" w:ascii="仿宋_GB2312" w:hAnsi="宋体" w:cs="仿宋_GB2312"/>
                <w:i w:val="0"/>
                <w:color w:val="000000"/>
                <w:kern w:val="0"/>
                <w:sz w:val="24"/>
                <w:szCs w:val="24"/>
                <w:u w:val="none"/>
                <w:lang w:val="en-US" w:eastAsia="zh-CN" w:bidi="ar"/>
              </w:rPr>
              <w:t>2</w:t>
            </w:r>
            <w:r>
              <w:rPr>
                <w:rFonts w:hint="eastAsia" w:ascii="仿宋_GB2312" w:hAnsi="宋体" w:eastAsia="仿宋_GB2312" w:cs="仿宋_GB2312"/>
                <w:i w:val="0"/>
                <w:color w:val="000000"/>
                <w:kern w:val="0"/>
                <w:sz w:val="24"/>
                <w:szCs w:val="24"/>
                <w:u w:val="none"/>
                <w:lang w:val="en-US" w:eastAsia="zh-CN" w:bidi="ar"/>
              </w:rPr>
              <w:t>：伙食补助人数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≥63人</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63人</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28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指标 </w:t>
            </w:r>
            <w:r>
              <w:rPr>
                <w:rFonts w:hint="eastAsia" w:ascii="仿宋_GB2312" w:hAnsi="宋体" w:cs="仿宋_GB2312"/>
                <w:i w:val="0"/>
                <w:color w:val="000000"/>
                <w:kern w:val="0"/>
                <w:sz w:val="24"/>
                <w:szCs w:val="24"/>
                <w:u w:val="none"/>
                <w:lang w:val="en-US" w:eastAsia="zh-CN" w:bidi="ar"/>
              </w:rPr>
              <w:t>3</w:t>
            </w:r>
            <w:r>
              <w:rPr>
                <w:rFonts w:hint="eastAsia" w:ascii="仿宋_GB2312" w:hAnsi="宋体" w:eastAsia="仿宋_GB2312" w:cs="仿宋_GB2312"/>
                <w:i w:val="0"/>
                <w:color w:val="000000"/>
                <w:kern w:val="0"/>
                <w:sz w:val="24"/>
                <w:szCs w:val="24"/>
                <w:u w:val="none"/>
                <w:lang w:val="en-US" w:eastAsia="zh-CN" w:bidi="ar"/>
              </w:rPr>
              <w:t>：扶贫点</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≥5处</w:t>
            </w:r>
          </w:p>
        </w:tc>
        <w:tc>
          <w:tcPr>
            <w:tcW w:w="10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28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指标 </w:t>
            </w:r>
            <w:r>
              <w:rPr>
                <w:rFonts w:hint="eastAsia" w:ascii="仿宋_GB2312" w:hAnsi="宋体" w:cs="仿宋_GB2312"/>
                <w:i w:val="0"/>
                <w:color w:val="000000"/>
                <w:kern w:val="0"/>
                <w:sz w:val="24"/>
                <w:szCs w:val="24"/>
                <w:u w:val="none"/>
                <w:lang w:val="en-US" w:eastAsia="zh-CN" w:bidi="ar"/>
              </w:rPr>
              <w:t>4</w:t>
            </w:r>
            <w:r>
              <w:rPr>
                <w:rFonts w:hint="eastAsia" w:ascii="仿宋_GB2312" w:hAnsi="宋体" w:eastAsia="仿宋_GB2312" w:cs="仿宋_GB2312"/>
                <w:i w:val="0"/>
                <w:color w:val="000000"/>
                <w:kern w:val="0"/>
                <w:sz w:val="24"/>
                <w:szCs w:val="24"/>
                <w:u w:val="none"/>
                <w:lang w:val="en-US" w:eastAsia="zh-CN" w:bidi="ar"/>
              </w:rPr>
              <w:t>：信息网络专线线路</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≥14条</w:t>
            </w:r>
          </w:p>
        </w:tc>
        <w:tc>
          <w:tcPr>
            <w:tcW w:w="10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≥14条</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54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w:t>
            </w:r>
            <w:r>
              <w:rPr>
                <w:rFonts w:hint="eastAsia" w:ascii="仿宋_GB2312" w:hAnsi="宋体" w:cs="仿宋_GB2312"/>
                <w:i w:val="0"/>
                <w:color w:val="000000"/>
                <w:kern w:val="0"/>
                <w:sz w:val="24"/>
                <w:szCs w:val="24"/>
                <w:u w:val="none"/>
                <w:lang w:val="en-US" w:eastAsia="zh-CN" w:bidi="ar"/>
              </w:rPr>
              <w:t>5</w:t>
            </w:r>
            <w:r>
              <w:rPr>
                <w:rFonts w:hint="eastAsia" w:ascii="仿宋_GB2312" w:hAnsi="宋体" w:eastAsia="仿宋_GB2312" w:cs="仿宋_GB2312"/>
                <w:i w:val="0"/>
                <w:color w:val="000000"/>
                <w:kern w:val="0"/>
                <w:sz w:val="24"/>
                <w:szCs w:val="24"/>
                <w:u w:val="none"/>
                <w:lang w:val="en-US" w:eastAsia="zh-CN" w:bidi="ar"/>
              </w:rPr>
              <w:t>：会议召开次数</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≥3场</w:t>
            </w:r>
          </w:p>
        </w:tc>
        <w:tc>
          <w:tcPr>
            <w:tcW w:w="10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≥3场</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78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指标 </w:t>
            </w:r>
            <w:r>
              <w:rPr>
                <w:rFonts w:hint="eastAsia" w:ascii="仿宋_GB2312" w:hAnsi="宋体" w:cs="仿宋_GB2312"/>
                <w:i w:val="0"/>
                <w:color w:val="000000"/>
                <w:kern w:val="0"/>
                <w:sz w:val="24"/>
                <w:szCs w:val="24"/>
                <w:u w:val="none"/>
                <w:lang w:val="en-US" w:eastAsia="zh-CN" w:bidi="ar"/>
              </w:rPr>
              <w:t>6</w:t>
            </w:r>
            <w:r>
              <w:rPr>
                <w:rFonts w:hint="eastAsia" w:ascii="仿宋_GB2312" w:hAnsi="宋体" w:eastAsia="仿宋_GB2312" w:cs="仿宋_GB2312"/>
                <w:i w:val="0"/>
                <w:color w:val="000000"/>
                <w:kern w:val="0"/>
                <w:sz w:val="24"/>
                <w:szCs w:val="24"/>
                <w:u w:val="none"/>
                <w:lang w:val="en-US" w:eastAsia="zh-CN" w:bidi="ar"/>
              </w:rPr>
              <w:t>：制作宣传手册、宣传片、公益广告等</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按实际需要开展</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制作宣传手册、宣传片、公益广告等</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28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质量指标</w:t>
            </w: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1：经费支出合规性</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合规</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合规</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4.25</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4.25</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162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2：保障公积金业务开展，做好扩面宣传，提升公积金形象</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公积金事业发展及关乎社会发展的扶贫创城等相关工作城等相关工作</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开展扶贫、创城等公积金相关工作</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4.25</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4.25</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74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时效指标</w:t>
            </w: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1：项目完成及时性</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完成</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部分完成</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4.25</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2.04</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60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2：经费支出时效性</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及时</w:t>
            </w:r>
          </w:p>
        </w:tc>
        <w:tc>
          <w:tcPr>
            <w:tcW w:w="10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4.25</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4.25</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28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成本指标</w:t>
            </w: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1：印刷费</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≤8.9</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&lt;8.9</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28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2：电信租赁费</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≤49.32</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&lt;49.32</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28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3：会议费</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≤19.38</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&lt;19.38</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28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4：培训费</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≤9.50</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&lt;9.50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60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8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5：其他商品和服务支出</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≤123.46</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&lt;123.46</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0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120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效益指标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经济效益指标</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1：保障公积金业务开展，增加扩面归集，提高公积金使用效率，增加增值收益</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855"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社会效益指标</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1：做好住房公积金宣传，做好公积金事业发展及关乎社会发展的扶贫创城等相关工作</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提高公积金使用率，提高收益率</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公积金使用率、收益率都得到提高</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57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可持续影响指标</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1：切实保障合理住房消费</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570" w:hRule="atLeast"/>
          <w:jc w:val="center"/>
        </w:trPr>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满意度指标</w:t>
            </w:r>
          </w:p>
        </w:tc>
        <w:tc>
          <w:tcPr>
            <w:tcW w:w="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服务对象满意度指标</w:t>
            </w:r>
          </w:p>
        </w:tc>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1：对公积金工作的满意度</w:t>
            </w:r>
          </w:p>
        </w:tc>
        <w:tc>
          <w:tcPr>
            <w:tcW w:w="12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gridBefore w:val="1"/>
          <w:wBefore w:w="293" w:type="dxa"/>
          <w:trHeight w:val="375" w:hRule="atLeast"/>
          <w:jc w:val="center"/>
        </w:trPr>
        <w:tc>
          <w:tcPr>
            <w:tcW w:w="575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总分</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cs="仿宋_GB2312"/>
                <w:i w:val="0"/>
                <w:color w:val="000000"/>
                <w:kern w:val="0"/>
                <w:sz w:val="24"/>
                <w:szCs w:val="24"/>
                <w:u w:val="none"/>
                <w:lang w:val="en-US" w:eastAsia="zh-CN" w:bidi="ar"/>
              </w:rPr>
              <w:t>94.99</w:t>
            </w:r>
          </w:p>
        </w:tc>
        <w:tc>
          <w:tcPr>
            <w:tcW w:w="13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仿宋_GB2312" w:hAnsi="仿宋"/>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
          <w:szCs w:val="32"/>
          <w:lang w:eastAsia="zh-CN"/>
        </w:rPr>
        <w:t>“购置及修缮”</w:t>
      </w:r>
      <w:r>
        <w:rPr>
          <w:rFonts w:hint="eastAsia" w:ascii="仿宋_GB2312" w:hAnsi="仿宋"/>
          <w:szCs w:val="32"/>
        </w:rPr>
        <w:t>项目绩效自评综述：根据年初设定的绩效</w:t>
      </w:r>
      <w:r>
        <w:rPr>
          <w:rFonts w:hint="eastAsia" w:ascii="仿宋_GB2312" w:hAnsi="仿宋"/>
          <w:szCs w:val="32"/>
          <w:lang w:eastAsia="zh-CN"/>
        </w:rPr>
        <w:t>目</w:t>
      </w:r>
      <w:r>
        <w:rPr>
          <w:rFonts w:hint="eastAsia" w:ascii="仿宋_GB2312" w:hAnsi="仿宋"/>
          <w:szCs w:val="32"/>
        </w:rPr>
        <w:t>标，项目绩效自评得分</w:t>
      </w:r>
      <w:r>
        <w:rPr>
          <w:rFonts w:hint="eastAsia" w:ascii="仿宋_GB2312" w:hAnsi="仿宋"/>
          <w:szCs w:val="32"/>
          <w:lang w:val="en-US" w:eastAsia="zh-CN"/>
        </w:rPr>
        <w:t>87.5</w:t>
      </w:r>
      <w:r>
        <w:rPr>
          <w:rFonts w:hint="eastAsia" w:ascii="仿宋_GB2312" w:hAnsi="仿宋"/>
          <w:szCs w:val="32"/>
        </w:rPr>
        <w:t>分。全年预算数为</w:t>
      </w:r>
      <w:r>
        <w:rPr>
          <w:rFonts w:hint="eastAsia" w:ascii="仿宋_GB2312" w:hAnsi="仿宋"/>
          <w:szCs w:val="32"/>
          <w:lang w:val="en-US" w:eastAsia="zh-CN"/>
        </w:rPr>
        <w:t>294.90</w:t>
      </w:r>
      <w:r>
        <w:rPr>
          <w:rFonts w:hint="eastAsia" w:ascii="仿宋_GB2312" w:hAnsi="仿宋"/>
          <w:szCs w:val="32"/>
        </w:rPr>
        <w:t>万元，执行数为</w:t>
      </w:r>
      <w:r>
        <w:rPr>
          <w:rFonts w:hint="eastAsia" w:ascii="仿宋_GB2312" w:hAnsi="仿宋"/>
          <w:szCs w:val="32"/>
          <w:lang w:val="en-US" w:eastAsia="zh-CN"/>
        </w:rPr>
        <w:t>191.27</w:t>
      </w:r>
      <w:r>
        <w:rPr>
          <w:rFonts w:hint="eastAsia" w:ascii="仿宋_GB2312" w:hAnsi="仿宋"/>
          <w:szCs w:val="32"/>
        </w:rPr>
        <w:t>万元，完成预算的</w:t>
      </w:r>
      <w:r>
        <w:rPr>
          <w:rFonts w:hint="eastAsia" w:ascii="仿宋_GB2312" w:hAnsi="仿宋"/>
          <w:szCs w:val="32"/>
          <w:lang w:val="en-US" w:eastAsia="zh-CN"/>
        </w:rPr>
        <w:t>65</w:t>
      </w:r>
      <w:r>
        <w:rPr>
          <w:rFonts w:hint="eastAsia" w:ascii="仿宋_GB2312" w:hAnsi="仿宋"/>
          <w:szCs w:val="32"/>
        </w:rPr>
        <w:t>%。项目绩效目标完成情况：</w:t>
      </w:r>
      <w:r>
        <w:rPr>
          <w:rFonts w:hint="eastAsia" w:ascii="仿宋_GB2312" w:hAnsi="仿宋"/>
          <w:szCs w:val="32"/>
          <w:lang w:eastAsia="zh-CN"/>
        </w:rPr>
        <w:t>基本完成了绩效目标。一是保障日常办公；二是保障软件升级及配套硬件，公积金系统对接“皖事通”APP建设等项目开展，进一步提升公积金业务服务水平。</w:t>
      </w:r>
      <w:r>
        <w:rPr>
          <w:rFonts w:hint="eastAsia" w:ascii="仿宋_GB2312" w:hAnsi="仿宋"/>
          <w:szCs w:val="32"/>
        </w:rPr>
        <w:t>发现的主要问题及原因</w:t>
      </w:r>
      <w:r>
        <w:rPr>
          <w:rFonts w:hint="eastAsia" w:ascii="仿宋_GB2312" w:hAnsi="仿宋"/>
          <w:szCs w:val="32"/>
          <w:lang w:eastAsia="zh-CN"/>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存在部分事项未能在20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highlight w:val="none"/>
          <w14:textFill>
            <w14:solidFill>
              <w14:schemeClr w14:val="tx1"/>
            </w14:solidFill>
          </w14:textFill>
        </w:rPr>
        <w:t>年内完成，项目进度滞后于计划进度，项目管理制度和落实措施还不够到位。由于</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社保、不动产等</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部门信息还未能做到全面的互联互通互享，导致公积金业务网上办、掌上办未能全面开展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，部分项目未能落实。</w:t>
      </w:r>
    </w:p>
    <w:tbl>
      <w:tblPr>
        <w:tblStyle w:val="5"/>
        <w:tblW w:w="9780" w:type="dxa"/>
        <w:tblInd w:w="0" w:type="dxa"/>
        <w:shd w:val="clear" w:color="auto" w:fill="auto"/>
        <w:tblLayout w:type="fixed"/>
        <w:tblCellMar>
          <w:top w:w="0" w:type="dxa"/>
          <w:left w:w="0" w:type="dxa"/>
          <w:bottom w:w="0" w:type="dxa"/>
          <w:right w:w="0" w:type="dxa"/>
        </w:tblCellMar>
      </w:tblPr>
      <w:tblGrid>
        <w:gridCol w:w="610"/>
        <w:gridCol w:w="581"/>
        <w:gridCol w:w="864"/>
        <w:gridCol w:w="700"/>
        <w:gridCol w:w="2041"/>
        <w:gridCol w:w="231"/>
        <w:gridCol w:w="1415"/>
        <w:gridCol w:w="1296"/>
        <w:gridCol w:w="312"/>
        <w:gridCol w:w="104"/>
        <w:gridCol w:w="551"/>
        <w:gridCol w:w="566"/>
        <w:gridCol w:w="509"/>
      </w:tblGrid>
      <w:tr>
        <w:tblPrEx>
          <w:shd w:val="clear" w:color="auto" w:fill="auto"/>
          <w:tblLayout w:type="fixed"/>
          <w:tblCellMar>
            <w:top w:w="0" w:type="dxa"/>
            <w:left w:w="0" w:type="dxa"/>
            <w:bottom w:w="0" w:type="dxa"/>
            <w:right w:w="0" w:type="dxa"/>
          </w:tblCellMar>
        </w:tblPrEx>
        <w:trPr>
          <w:trHeight w:val="630" w:hRule="atLeast"/>
        </w:trPr>
        <w:tc>
          <w:tcPr>
            <w:tcW w:w="9780" w:type="dxa"/>
            <w:gridSpan w:val="13"/>
            <w:tcBorders>
              <w:top w:val="nil"/>
              <w:left w:val="nil"/>
              <w:bottom w:val="nil"/>
              <w:right w:val="nil"/>
            </w:tcBorders>
            <w:shd w:val="clear" w:color="auto" w:fill="auto"/>
            <w:tcMar>
              <w:top w:w="15" w:type="dxa"/>
              <w:left w:w="15" w:type="dxa"/>
              <w:right w:w="15" w:type="dxa"/>
            </w:tcMar>
            <w:vAlign w:val="bottom"/>
          </w:tcPr>
          <w:p>
            <w:pPr>
              <w:adjustRightInd w:val="0"/>
              <w:snapToGrid w:val="0"/>
              <w:spacing w:line="600" w:lineRule="exact"/>
              <w:ind w:firstLine="640" w:firstLineChars="200"/>
              <w:outlineLvl w:val="9"/>
              <w:rPr>
                <w:rFonts w:hint="default" w:ascii="方正仿宋_GBK" w:hAnsi="方正仿宋_GBK" w:eastAsia="方正仿宋_GBK" w:cs="方正仿宋_GBK"/>
                <w:b/>
                <w:i w:val="0"/>
                <w:color w:val="000000"/>
                <w:kern w:val="0"/>
                <w:sz w:val="32"/>
                <w:szCs w:val="32"/>
                <w:u w:val="none"/>
                <w:lang w:val="en-US" w:eastAsia="zh-CN" w:bidi="ar"/>
              </w:rPr>
            </w:pPr>
            <w:r>
              <w:rPr>
                <w:rFonts w:hint="eastAsia" w:ascii="仿宋_GB2312" w:hAnsi="仿宋"/>
                <w:szCs w:val="32"/>
              </w:rPr>
              <w:t>公开上述项目的《项目支出绩效自评表》</w:t>
            </w:r>
          </w:p>
          <w:p>
            <w:pPr>
              <w:keepNext w:val="0"/>
              <w:keepLines w:val="0"/>
              <w:widowControl/>
              <w:suppressLineNumbers w:val="0"/>
              <w:jc w:val="center"/>
              <w:textAlignment w:val="bottom"/>
              <w:rPr>
                <w:rFonts w:ascii="方正仿宋_GBK" w:hAnsi="方正仿宋_GBK" w:eastAsia="方正仿宋_GBK" w:cs="方正仿宋_GBK"/>
                <w:b/>
                <w:i w:val="0"/>
                <w:color w:val="000000"/>
                <w:sz w:val="36"/>
                <w:szCs w:val="36"/>
                <w:u w:val="none"/>
              </w:rPr>
            </w:pPr>
            <w:r>
              <w:rPr>
                <w:rFonts w:hint="default" w:ascii="方正仿宋_GBK" w:hAnsi="方正仿宋_GBK" w:eastAsia="方正仿宋_GBK" w:cs="方正仿宋_GBK"/>
                <w:b/>
                <w:i w:val="0"/>
                <w:color w:val="000000"/>
                <w:kern w:val="0"/>
                <w:sz w:val="32"/>
                <w:szCs w:val="32"/>
                <w:u w:val="none"/>
                <w:lang w:val="en-US" w:eastAsia="zh-CN" w:bidi="ar"/>
              </w:rPr>
              <w:t>项目支出绩效自评表</w:t>
            </w:r>
          </w:p>
        </w:tc>
      </w:tr>
      <w:tr>
        <w:tblPrEx>
          <w:tblLayout w:type="fixed"/>
          <w:tblCellMar>
            <w:top w:w="0" w:type="dxa"/>
            <w:left w:w="0" w:type="dxa"/>
            <w:bottom w:w="0" w:type="dxa"/>
            <w:right w:w="0" w:type="dxa"/>
          </w:tblCellMar>
        </w:tblPrEx>
        <w:trPr>
          <w:trHeight w:val="465" w:hRule="atLeast"/>
        </w:trPr>
        <w:tc>
          <w:tcPr>
            <w:tcW w:w="9780" w:type="dxa"/>
            <w:gridSpan w:val="1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2020年度）</w:t>
            </w:r>
          </w:p>
        </w:tc>
      </w:tr>
      <w:tr>
        <w:tblPrEx>
          <w:tblLayout w:type="fixed"/>
          <w:tblCellMar>
            <w:top w:w="0" w:type="dxa"/>
            <w:left w:w="0" w:type="dxa"/>
            <w:bottom w:w="0" w:type="dxa"/>
            <w:right w:w="0" w:type="dxa"/>
          </w:tblCellMar>
        </w:tblPrEx>
        <w:trPr>
          <w:trHeight w:val="405" w:hRule="atLeast"/>
        </w:trPr>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8589"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购置及修缮</w:t>
            </w:r>
          </w:p>
        </w:tc>
      </w:tr>
      <w:tr>
        <w:tblPrEx>
          <w:tblLayout w:type="fixed"/>
          <w:tblCellMar>
            <w:top w:w="0" w:type="dxa"/>
            <w:left w:w="0" w:type="dxa"/>
            <w:bottom w:w="0" w:type="dxa"/>
            <w:right w:w="0" w:type="dxa"/>
          </w:tblCellMar>
        </w:tblPrEx>
        <w:trPr>
          <w:trHeight w:val="680" w:hRule="atLeast"/>
        </w:trPr>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主管部门</w:t>
            </w:r>
          </w:p>
        </w:tc>
        <w:tc>
          <w:tcPr>
            <w:tcW w:w="52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黄山市住房公积金管理中心</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实施单位</w:t>
            </w:r>
          </w:p>
        </w:tc>
        <w:tc>
          <w:tcPr>
            <w:tcW w:w="17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黄山市住房公积金管理中心</w:t>
            </w:r>
          </w:p>
        </w:tc>
      </w:tr>
      <w:tr>
        <w:tblPrEx>
          <w:tblLayout w:type="fixed"/>
          <w:tblCellMar>
            <w:top w:w="0" w:type="dxa"/>
            <w:left w:w="0" w:type="dxa"/>
            <w:bottom w:w="0" w:type="dxa"/>
            <w:right w:w="0" w:type="dxa"/>
          </w:tblCellMar>
        </w:tblPrEx>
        <w:trPr>
          <w:trHeight w:val="645" w:hRule="atLeast"/>
        </w:trPr>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项目资金（万元）</w:t>
            </w: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年初预算数</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全年预算数</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全年执行数</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分值</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执行率</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05" w:hRule="atLeast"/>
        </w:trPr>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年度资金总额</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294.9</w:t>
            </w: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294.9</w:t>
            </w: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181.27</w:t>
            </w: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r>
              <w:rPr>
                <w:rFonts w:hint="eastAsia" w:ascii="仿宋_GB2312" w:hAnsi="宋体" w:cs="仿宋_GB2312"/>
                <w:i w:val="0"/>
                <w:color w:val="000000"/>
                <w:kern w:val="0"/>
                <w:sz w:val="24"/>
                <w:szCs w:val="24"/>
                <w:u w:val="none"/>
                <w:lang w:val="en-US" w:eastAsia="zh-CN" w:bidi="ar"/>
              </w:rPr>
              <w:t>5</w:t>
            </w:r>
            <w:r>
              <w:rPr>
                <w:rFonts w:hint="eastAsia" w:ascii="仿宋_GB2312" w:hAnsi="宋体" w:eastAsia="仿宋_GB2312" w:cs="仿宋_GB2312"/>
                <w:i w:val="0"/>
                <w:color w:val="000000"/>
                <w:kern w:val="0"/>
                <w:sz w:val="24"/>
                <w:szCs w:val="24"/>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eastAsia="仿宋_GB2312" w:cs="仿宋_GB2312"/>
                <w:i w:val="0"/>
                <w:color w:val="000000"/>
                <w:kern w:val="0"/>
                <w:sz w:val="24"/>
                <w:szCs w:val="24"/>
                <w:u w:val="none"/>
                <w:lang w:val="en-US" w:eastAsia="zh-CN" w:bidi="ar"/>
              </w:rPr>
              <w:t>6.</w:t>
            </w:r>
            <w:r>
              <w:rPr>
                <w:rFonts w:hint="eastAsia" w:ascii="仿宋_GB2312" w:hAnsi="宋体" w:cs="仿宋_GB2312"/>
                <w:i w:val="0"/>
                <w:color w:val="000000"/>
                <w:kern w:val="0"/>
                <w:sz w:val="24"/>
                <w:szCs w:val="24"/>
                <w:u w:val="none"/>
                <w:lang w:val="en-US" w:eastAsia="zh-CN" w:bidi="ar"/>
              </w:rPr>
              <w:t>5</w:t>
            </w:r>
          </w:p>
        </w:tc>
      </w:tr>
      <w:tr>
        <w:tblPrEx>
          <w:tblLayout w:type="fixed"/>
          <w:tblCellMar>
            <w:top w:w="0" w:type="dxa"/>
            <w:left w:w="0" w:type="dxa"/>
            <w:bottom w:w="0" w:type="dxa"/>
            <w:right w:w="0" w:type="dxa"/>
          </w:tblCellMar>
        </w:tblPrEx>
        <w:trPr>
          <w:trHeight w:val="580" w:hRule="atLeast"/>
        </w:trPr>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其中：当年财政拨款</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600" w:hRule="atLeast"/>
        </w:trPr>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上年结转资金</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90" w:hRule="atLeast"/>
        </w:trPr>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其他资金</w:t>
            </w:r>
          </w:p>
        </w:tc>
        <w:tc>
          <w:tcPr>
            <w:tcW w:w="20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525"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年度总体目标</w:t>
            </w:r>
          </w:p>
        </w:tc>
        <w:tc>
          <w:tcPr>
            <w:tcW w:w="58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预期目标</w:t>
            </w:r>
          </w:p>
        </w:tc>
        <w:tc>
          <w:tcPr>
            <w:tcW w:w="33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348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32"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用于办公设备维修与购置、办公水电、物业等费用，保障日常办公；软件升级及配套硬件(公积金系统对接“皖事通”APP建设项目，；公积金信息系统与省政务服务“好差评”对接，实现柜面业务无纸化；信息系统与黄山市企业开办平台对接，接收社保数据，完成单位下的个人公积金账户开户)，进一步提升公积金业务服务水平</w:t>
            </w:r>
          </w:p>
        </w:tc>
        <w:tc>
          <w:tcPr>
            <w:tcW w:w="333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用于办公设备修缮与购置、办公楼维修维护（含水电、物业等费用），保障日常办公；软件升级及配套硬件(公积金系统对接“皖事通”APP建设项目，；公积金信息系统与省政务服务“好差评”对接，实现柜面业务无纸化；信息系统与黄山市企业开办平台对接，接收社保数据，完成单位下的个人公积金账户开户)，进一步提升公积金业务服务水平</w:t>
            </w:r>
          </w:p>
        </w:tc>
      </w:tr>
      <w:tr>
        <w:tblPrEx>
          <w:tblLayout w:type="fixed"/>
          <w:tblCellMar>
            <w:top w:w="0" w:type="dxa"/>
            <w:left w:w="0" w:type="dxa"/>
            <w:bottom w:w="0" w:type="dxa"/>
            <w:right w:w="0" w:type="dxa"/>
          </w:tblCellMar>
        </w:tblPrEx>
        <w:trPr>
          <w:trHeight w:val="1140" w:hRule="atLeast"/>
        </w:trPr>
        <w:tc>
          <w:tcPr>
            <w:tcW w:w="61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绩效指标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二级指标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三级指标</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年度指标值</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实际完成值</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分值</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得分</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39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产出指标</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数量指标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1：建成系统平台数量</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64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2：项目覆盖单位或市县区数量</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3：水电物业服务人数数量</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≥63</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4：设备购置（电脑、打印机等）采购数量</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≥7，按需</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1：系统功能达标率</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2：楼房管理完好率</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3：经费支出合规性</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合规</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合规</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时效指标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1：项目完成及时性</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是</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部分完成</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8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2：经费支出时效性</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及时</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及时</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kern w:val="0"/>
                <w:sz w:val="24"/>
                <w:szCs w:val="24"/>
                <w:highlight w:val="none"/>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57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成本指标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1：项目总成本</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≤294.90</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≤294.90</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kern w:val="0"/>
                <w:sz w:val="24"/>
                <w:szCs w:val="24"/>
                <w:highlight w:val="none"/>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16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经济效益指标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1：对保障办公环境及数据资源共享机制的影响程度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14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社会效益指标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1：对提高公共服务能力和效率的改善或提升程度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14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指标2：对推动“互联网+”发展的影响程度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340"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生态效益指标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1：对减少硬件能耗支出，实现节能减排的影响程度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855"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可持续影响指标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1：对提高公共服务能力和效率的持续影响程度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得到提升</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得到提升</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6</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cs="仿宋_GB2312"/>
                <w:i w:val="0"/>
                <w:color w:val="000000"/>
                <w:kern w:val="0"/>
                <w:sz w:val="24"/>
                <w:szCs w:val="24"/>
                <w:highlight w:val="none"/>
                <w:u w:val="none"/>
                <w:lang w:val="en-US" w:eastAsia="zh-CN" w:bidi="ar"/>
              </w:rPr>
              <w:t>6</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满意度指标</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服务对象满意度指标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1：公众满意度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6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8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2：服务对象满意度</w:t>
            </w:r>
          </w:p>
        </w:tc>
        <w:tc>
          <w:tcPr>
            <w:tcW w:w="1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660" w:hRule="atLeast"/>
        </w:trPr>
        <w:tc>
          <w:tcPr>
            <w:tcW w:w="7738"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总分</w:t>
            </w:r>
          </w:p>
        </w:tc>
        <w:tc>
          <w:tcPr>
            <w:tcW w:w="4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5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lang w:val="en-US"/>
              </w:rPr>
            </w:pPr>
            <w:r>
              <w:rPr>
                <w:rFonts w:hint="eastAsia" w:ascii="仿宋_GB2312" w:hAnsi="宋体" w:cs="仿宋_GB2312"/>
                <w:i w:val="0"/>
                <w:color w:val="000000"/>
                <w:kern w:val="0"/>
                <w:sz w:val="24"/>
                <w:szCs w:val="24"/>
                <w:u w:val="none"/>
                <w:lang w:val="en-US" w:eastAsia="zh-CN" w:bidi="ar"/>
              </w:rPr>
              <w:t>87.5</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spacing w:line="560" w:lineRule="exact"/>
        <w:ind w:firstLine="640" w:firstLineChars="200"/>
        <w:rPr>
          <w:rFonts w:hint="eastAsia" w:ascii="仿宋_GB2312" w:hAnsi="仿宋"/>
          <w:szCs w:val="32"/>
          <w:lang w:eastAsia="zh-CN"/>
        </w:rPr>
      </w:pP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
          <w:szCs w:val="32"/>
          <w:lang w:eastAsia="zh-CN"/>
        </w:rPr>
        <w:t>“购买服务支出”</w:t>
      </w:r>
      <w:r>
        <w:rPr>
          <w:rFonts w:hint="eastAsia" w:ascii="仿宋_GB2312" w:hAnsi="仿宋"/>
          <w:szCs w:val="32"/>
        </w:rPr>
        <w:t>项目绩效自评综述：根据年初设定的绩效目标，项目绩效自评得分</w:t>
      </w:r>
      <w:r>
        <w:rPr>
          <w:rFonts w:hint="eastAsia" w:ascii="仿宋_GB2312" w:hAnsi="仿宋"/>
          <w:szCs w:val="32"/>
          <w:lang w:val="en-US" w:eastAsia="zh-CN"/>
        </w:rPr>
        <w:t>97.72</w:t>
      </w:r>
      <w:r>
        <w:rPr>
          <w:rFonts w:hint="eastAsia" w:ascii="仿宋_GB2312" w:hAnsi="仿宋"/>
          <w:szCs w:val="32"/>
        </w:rPr>
        <w:t>分。全年预算数为</w:t>
      </w:r>
      <w:r>
        <w:rPr>
          <w:rFonts w:hint="eastAsia" w:ascii="仿宋_GB2312" w:hAnsi="仿宋"/>
          <w:szCs w:val="32"/>
          <w:lang w:val="en-US" w:eastAsia="zh-CN"/>
        </w:rPr>
        <w:t>234.83</w:t>
      </w:r>
      <w:r>
        <w:rPr>
          <w:rFonts w:hint="eastAsia" w:ascii="仿宋_GB2312" w:hAnsi="仿宋"/>
          <w:szCs w:val="32"/>
        </w:rPr>
        <w:t>万元，执行数为</w:t>
      </w:r>
      <w:r>
        <w:rPr>
          <w:rFonts w:hint="eastAsia" w:ascii="仿宋_GB2312" w:hAnsi="仿宋"/>
          <w:szCs w:val="32"/>
          <w:lang w:val="en-US" w:eastAsia="zh-CN"/>
        </w:rPr>
        <w:t>181.34</w:t>
      </w:r>
      <w:r>
        <w:rPr>
          <w:rFonts w:hint="eastAsia" w:ascii="仿宋_GB2312" w:hAnsi="仿宋"/>
          <w:szCs w:val="32"/>
        </w:rPr>
        <w:t>万元，完成预算的</w:t>
      </w:r>
      <w:r>
        <w:rPr>
          <w:rFonts w:hint="eastAsia" w:ascii="仿宋_GB2312" w:hAnsi="仿宋"/>
          <w:szCs w:val="32"/>
          <w:lang w:val="en-US" w:eastAsia="zh-CN"/>
        </w:rPr>
        <w:t>77.22</w:t>
      </w:r>
      <w:r>
        <w:rPr>
          <w:rFonts w:hint="eastAsia" w:ascii="仿宋_GB2312" w:hAnsi="仿宋"/>
          <w:szCs w:val="32"/>
        </w:rPr>
        <w:t>%。项目绩效目标完成情况：</w:t>
      </w:r>
      <w:r>
        <w:rPr>
          <w:rFonts w:hint="eastAsia" w:ascii="仿宋_GB2312" w:hAnsi="仿宋"/>
          <w:szCs w:val="32"/>
          <w:lang w:eastAsia="zh-CN"/>
        </w:rPr>
        <w:t>基本完成了绩效目标。</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保障日常办公及业务开展，维护聘用人员权益，保障住房公积金业务正常开展</w:t>
      </w:r>
      <w:r>
        <w:rPr>
          <w:rFonts w:hint="eastAsia" w:ascii="仿宋_GB2312" w:hAnsi="仿宋"/>
          <w:szCs w:val="32"/>
        </w:rPr>
        <w:t>。发现的主要问题及原因</w:t>
      </w:r>
      <w:r>
        <w:rPr>
          <w:rFonts w:hint="eastAsia" w:ascii="仿宋_GB2312" w:hAnsi="仿宋"/>
          <w:szCs w:val="32"/>
          <w:lang w:eastAsia="zh-CN"/>
        </w:rPr>
        <w:t>：</w:t>
      </w:r>
      <w:r>
        <w:rPr>
          <w:rFonts w:hint="eastAsia" w:ascii="仿宋_GB2312" w:hAnsi="仿宋_GB2312" w:eastAsia="仿宋_GB2312" w:cs="仿宋_GB2312"/>
          <w:kern w:val="2"/>
          <w:sz w:val="32"/>
          <w:szCs w:val="32"/>
          <w:lang w:val="en-US" w:eastAsia="zh-CN" w:bidi="ar-SA"/>
        </w:rPr>
        <w:t>人员流动性大。无编制，很多劳务派遣人员不愿意长久的留在本单位。新来的员工需要上岗培训，花费时间长，培训成本大。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
          <w:szCs w:val="32"/>
        </w:rPr>
        <w:t>公开上述项目的《项目支出绩效自评表》。</w:t>
      </w:r>
    </w:p>
    <w:tbl>
      <w:tblPr>
        <w:tblStyle w:val="5"/>
        <w:tblW w:w="10098" w:type="dxa"/>
        <w:jc w:val="center"/>
        <w:tblInd w:w="0" w:type="dxa"/>
        <w:shd w:val="clear" w:color="auto" w:fill="auto"/>
        <w:tblLayout w:type="fixed"/>
        <w:tblCellMar>
          <w:top w:w="0" w:type="dxa"/>
          <w:left w:w="0" w:type="dxa"/>
          <w:bottom w:w="0" w:type="dxa"/>
          <w:right w:w="0" w:type="dxa"/>
        </w:tblCellMar>
      </w:tblPr>
      <w:tblGrid>
        <w:gridCol w:w="694"/>
        <w:gridCol w:w="768"/>
        <w:gridCol w:w="694"/>
        <w:gridCol w:w="1167"/>
        <w:gridCol w:w="2261"/>
        <w:gridCol w:w="1226"/>
        <w:gridCol w:w="916"/>
        <w:gridCol w:w="384"/>
        <w:gridCol w:w="103"/>
        <w:gridCol w:w="546"/>
        <w:gridCol w:w="177"/>
        <w:gridCol w:w="650"/>
        <w:gridCol w:w="512"/>
      </w:tblGrid>
      <w:tr>
        <w:tblPrEx>
          <w:shd w:val="clear" w:color="auto" w:fill="auto"/>
          <w:tblLayout w:type="fixed"/>
          <w:tblCellMar>
            <w:top w:w="0" w:type="dxa"/>
            <w:left w:w="0" w:type="dxa"/>
            <w:bottom w:w="0" w:type="dxa"/>
            <w:right w:w="0" w:type="dxa"/>
          </w:tblCellMar>
        </w:tblPrEx>
        <w:trPr>
          <w:trHeight w:val="630" w:hRule="atLeast"/>
          <w:jc w:val="center"/>
        </w:trPr>
        <w:tc>
          <w:tcPr>
            <w:tcW w:w="10098" w:type="dxa"/>
            <w:gridSpan w:val="1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jc w:val="center"/>
              <w:textAlignment w:val="bottom"/>
              <w:outlineLvl w:val="9"/>
              <w:rPr>
                <w:rFonts w:ascii="方正仿宋_GBK" w:hAnsi="方正仿宋_GBK" w:eastAsia="方正仿宋_GBK" w:cs="方正仿宋_GBK"/>
                <w:b/>
                <w:i w:val="0"/>
                <w:color w:val="000000"/>
                <w:sz w:val="36"/>
                <w:szCs w:val="36"/>
                <w:u w:val="none"/>
              </w:rPr>
            </w:pPr>
            <w:r>
              <w:rPr>
                <w:rFonts w:hint="default" w:ascii="方正仿宋_GBK" w:hAnsi="方正仿宋_GBK" w:eastAsia="方正仿宋_GBK" w:cs="方正仿宋_GBK"/>
                <w:b/>
                <w:i w:val="0"/>
                <w:color w:val="000000"/>
                <w:kern w:val="0"/>
                <w:sz w:val="32"/>
                <w:szCs w:val="32"/>
                <w:u w:val="none"/>
                <w:lang w:val="en-US" w:eastAsia="zh-CN" w:bidi="ar"/>
              </w:rPr>
              <w:t>项目支出绩效自评表</w:t>
            </w:r>
          </w:p>
        </w:tc>
      </w:tr>
      <w:tr>
        <w:tblPrEx>
          <w:tblLayout w:type="fixed"/>
          <w:tblCellMar>
            <w:top w:w="0" w:type="dxa"/>
            <w:left w:w="0" w:type="dxa"/>
            <w:bottom w:w="0" w:type="dxa"/>
            <w:right w:w="0" w:type="dxa"/>
          </w:tblCellMar>
        </w:tblPrEx>
        <w:trPr>
          <w:trHeight w:val="465" w:hRule="atLeast"/>
          <w:jc w:val="center"/>
        </w:trPr>
        <w:tc>
          <w:tcPr>
            <w:tcW w:w="10098" w:type="dxa"/>
            <w:gridSpan w:val="13"/>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2020年度）</w:t>
            </w:r>
          </w:p>
        </w:tc>
      </w:tr>
      <w:tr>
        <w:tblPrEx>
          <w:tblLayout w:type="fixed"/>
          <w:tblCellMar>
            <w:top w:w="0" w:type="dxa"/>
            <w:left w:w="0" w:type="dxa"/>
            <w:bottom w:w="0" w:type="dxa"/>
            <w:right w:w="0" w:type="dxa"/>
          </w:tblCellMar>
        </w:tblPrEx>
        <w:trPr>
          <w:trHeight w:val="405" w:hRule="atLeast"/>
          <w:jc w:val="center"/>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项目名称</w:t>
            </w:r>
          </w:p>
        </w:tc>
        <w:tc>
          <w:tcPr>
            <w:tcW w:w="8636"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购买服务支出</w:t>
            </w:r>
          </w:p>
        </w:tc>
      </w:tr>
      <w:tr>
        <w:tblPrEx>
          <w:tblLayout w:type="fixed"/>
          <w:tblCellMar>
            <w:top w:w="0" w:type="dxa"/>
            <w:left w:w="0" w:type="dxa"/>
            <w:bottom w:w="0" w:type="dxa"/>
            <w:right w:w="0" w:type="dxa"/>
          </w:tblCellMar>
        </w:tblPrEx>
        <w:trPr>
          <w:trHeight w:val="720" w:hRule="atLeast"/>
          <w:jc w:val="center"/>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主管部门</w:t>
            </w:r>
          </w:p>
        </w:tc>
        <w:tc>
          <w:tcPr>
            <w:tcW w:w="534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黄山市住房公积金管理中心</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实施单位</w:t>
            </w:r>
          </w:p>
        </w:tc>
        <w:tc>
          <w:tcPr>
            <w:tcW w:w="19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黄山市住房公积金管理中心</w:t>
            </w:r>
          </w:p>
        </w:tc>
      </w:tr>
      <w:tr>
        <w:tblPrEx>
          <w:tblLayout w:type="fixed"/>
          <w:tblCellMar>
            <w:top w:w="0" w:type="dxa"/>
            <w:left w:w="0" w:type="dxa"/>
            <w:bottom w:w="0" w:type="dxa"/>
            <w:right w:w="0" w:type="dxa"/>
          </w:tblCellMar>
        </w:tblPrEx>
        <w:trPr>
          <w:trHeight w:val="645" w:hRule="atLeast"/>
          <w:jc w:val="center"/>
        </w:trPr>
        <w:tc>
          <w:tcPr>
            <w:tcW w:w="1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项目资金（万元）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年初预算数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全年预算数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全年执行数</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分值</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执行率</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得分</w:t>
            </w:r>
          </w:p>
        </w:tc>
      </w:tr>
      <w:tr>
        <w:tblPrEx>
          <w:tblLayout w:type="fixed"/>
          <w:tblCellMar>
            <w:top w:w="0" w:type="dxa"/>
            <w:left w:w="0" w:type="dxa"/>
            <w:bottom w:w="0" w:type="dxa"/>
            <w:right w:w="0" w:type="dxa"/>
          </w:tblCellMar>
        </w:tblPrEx>
        <w:trPr>
          <w:trHeight w:val="405" w:hRule="atLeast"/>
          <w:jc w:val="center"/>
        </w:trPr>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年度资金总额</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234.83</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234.83</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181.34</w:t>
            </w: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77.22%</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7.72</w:t>
            </w:r>
          </w:p>
        </w:tc>
      </w:tr>
      <w:tr>
        <w:tblPrEx>
          <w:tblLayout w:type="fixed"/>
          <w:tblCellMar>
            <w:top w:w="0" w:type="dxa"/>
            <w:left w:w="0" w:type="dxa"/>
            <w:bottom w:w="0" w:type="dxa"/>
            <w:right w:w="0" w:type="dxa"/>
          </w:tblCellMar>
        </w:tblPrEx>
        <w:trPr>
          <w:trHeight w:val="660" w:hRule="atLeast"/>
          <w:jc w:val="center"/>
        </w:trPr>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其中：当年财政拨款</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660" w:hRule="atLeast"/>
          <w:jc w:val="center"/>
        </w:trPr>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上年结转资金</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390" w:hRule="atLeast"/>
          <w:jc w:val="center"/>
        </w:trPr>
        <w:tc>
          <w:tcPr>
            <w:tcW w:w="1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其他资金</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w:t>
            </w:r>
          </w:p>
        </w:tc>
      </w:tr>
      <w:tr>
        <w:tblPrEx>
          <w:tblLayout w:type="fixed"/>
          <w:tblCellMar>
            <w:top w:w="0" w:type="dxa"/>
            <w:left w:w="0" w:type="dxa"/>
            <w:bottom w:w="0" w:type="dxa"/>
            <w:right w:w="0" w:type="dxa"/>
          </w:tblCellMar>
        </w:tblPrEx>
        <w:trPr>
          <w:trHeight w:val="525"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年度总体目标</w:t>
            </w:r>
          </w:p>
        </w:tc>
        <w:tc>
          <w:tcPr>
            <w:tcW w:w="61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预期目标</w:t>
            </w:r>
          </w:p>
        </w:tc>
        <w:tc>
          <w:tcPr>
            <w:tcW w:w="32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实际完成情况</w:t>
            </w:r>
          </w:p>
        </w:tc>
      </w:tr>
      <w:tr>
        <w:tblPrEx>
          <w:tblLayout w:type="fixed"/>
          <w:tblCellMar>
            <w:top w:w="0" w:type="dxa"/>
            <w:left w:w="0" w:type="dxa"/>
            <w:bottom w:w="0" w:type="dxa"/>
            <w:right w:w="0" w:type="dxa"/>
          </w:tblCellMar>
        </w:tblPrEx>
        <w:trPr>
          <w:trHeight w:val="17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11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保障日常办公及业务开展，维护用人单位和聘用人员的权益，保障住房公积金业务正常开展，提升服务水平</w:t>
            </w:r>
          </w:p>
        </w:tc>
        <w:tc>
          <w:tcPr>
            <w:tcW w:w="32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保障日常办公及业务开展，维护用人单位和聘用人员的权益，保障住房公积金业务正常开展，提升服务水平</w:t>
            </w:r>
          </w:p>
        </w:tc>
      </w:tr>
      <w:tr>
        <w:tblPrEx>
          <w:tblLayout w:type="fixed"/>
          <w:tblCellMar>
            <w:top w:w="0" w:type="dxa"/>
            <w:left w:w="0" w:type="dxa"/>
            <w:bottom w:w="0" w:type="dxa"/>
            <w:right w:w="0" w:type="dxa"/>
          </w:tblCellMar>
        </w:tblPrEx>
        <w:trPr>
          <w:trHeight w:val="11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绩效指标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一级指标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二级指标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年度指标值</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实际完成值</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分值</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得分</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偏差原因分析及改进措施</w:t>
            </w:r>
          </w:p>
        </w:tc>
      </w:tr>
      <w:tr>
        <w:tblPrEx>
          <w:tblLayout w:type="fixed"/>
          <w:tblCellMar>
            <w:top w:w="0" w:type="dxa"/>
            <w:left w:w="0" w:type="dxa"/>
            <w:bottom w:w="0" w:type="dxa"/>
            <w:right w:w="0" w:type="dxa"/>
          </w:tblCellMar>
        </w:tblPrEx>
        <w:trPr>
          <w:trHeight w:val="6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产出指标</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数量指标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1：服务场所</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2：服务缴存单位</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≥3500</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3：临工及劳务派遣人员人数</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≥18</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8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质量指标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1：经费支出合规性</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合规</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合规</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4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2：维护用人单位和聘用人员的权益，保障住房公积金业务正常开展，提升服务水平</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7</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5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时效指标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1：提升服务水平，缩短办件时间</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较高</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9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成本指标</w:t>
            </w:r>
          </w:p>
        </w:tc>
        <w:tc>
          <w:tcPr>
            <w:tcW w:w="34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1：临工及劳务派遣人员工资、绩效、一次性奖励、社保保障费、公积金等</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≤234.83</w:t>
            </w:r>
          </w:p>
        </w:tc>
        <w:tc>
          <w:tcPr>
            <w:tcW w:w="9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Style w:val="6"/>
                <w:lang w:val="en-US" w:eastAsia="zh-CN" w:bidi="ar"/>
              </w:rPr>
              <w:t>&lt;</w:t>
            </w:r>
            <w:r>
              <w:rPr>
                <w:rStyle w:val="7"/>
                <w:lang w:val="en-US" w:eastAsia="zh-CN" w:bidi="ar"/>
              </w:rPr>
              <w:t>234.83</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72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4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效益指标</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经济效益指标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40" w:afterAutospacing="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1：保障公积金业务开展，增加扩面归集，提高公积金使用效率</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改善或提升程度（较高、明显、一般）</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26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3428"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2：工作无差错、资金无风险</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工作无差错、资金无风险</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工作无差错、资金无风险</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1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社会效益指标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1：提高了办事效率，提升公积金形象的影响程度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影响程度（较高、明显、一般）</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16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可持续影响指标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1：保障公积金业务开展，切实保障合理住房消费</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影响程度（较高、明显、一般）</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较高</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142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满意度指标</w:t>
            </w:r>
          </w:p>
        </w:tc>
        <w:tc>
          <w:tcPr>
            <w:tcW w:w="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服务对象满意度指标</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指标 1：对公积金工作的满意度</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满意</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375" w:hRule="atLeast"/>
          <w:jc w:val="center"/>
        </w:trPr>
        <w:tc>
          <w:tcPr>
            <w:tcW w:w="772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总分</w:t>
            </w:r>
          </w:p>
        </w:tc>
        <w:tc>
          <w:tcPr>
            <w:tcW w:w="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7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97.72</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adjustRightInd w:val="0"/>
        <w:snapToGrid w:val="0"/>
        <w:spacing w:line="600" w:lineRule="exact"/>
        <w:ind w:firstLine="643" w:firstLineChars="200"/>
        <w:outlineLvl w:val="4"/>
        <w:rPr>
          <w:rFonts w:hint="eastAsia" w:ascii="仿宋_GB2312" w:hAnsi="仿宋"/>
          <w:b/>
          <w:bCs/>
          <w:szCs w:val="32"/>
        </w:rPr>
      </w:pPr>
      <w:r>
        <w:rPr>
          <w:rFonts w:hint="eastAsia" w:ascii="仿宋_GB2312" w:hAnsi="仿宋"/>
          <w:b/>
          <w:bCs/>
          <w:szCs w:val="32"/>
        </w:rPr>
        <w:t>3</w:t>
      </w:r>
      <w:r>
        <w:rPr>
          <w:rFonts w:hint="default" w:ascii="仿宋_GB2312" w:hAnsi="仿宋"/>
          <w:b/>
          <w:bCs/>
          <w:szCs w:val="32"/>
          <w:lang w:val="en-US"/>
        </w:rPr>
        <w:t>.</w:t>
      </w:r>
      <w:r>
        <w:rPr>
          <w:rFonts w:hint="eastAsia" w:ascii="仿宋_GB2312" w:hAnsi="仿宋"/>
          <w:b/>
          <w:bCs/>
          <w:szCs w:val="32"/>
        </w:rPr>
        <w:t>部门评价项目绩效评价结果。</w:t>
      </w:r>
    </w:p>
    <w:p>
      <w:pPr>
        <w:adjustRightInd w:val="0"/>
        <w:snapToGrid w:val="0"/>
        <w:spacing w:line="600" w:lineRule="exact"/>
        <w:ind w:firstLine="643" w:firstLineChars="200"/>
        <w:outlineLvl w:val="9"/>
        <w:rPr>
          <w:rFonts w:hint="eastAsia" w:ascii="仿宋_GB2312" w:hAnsi="仿宋"/>
          <w:b/>
          <w:bCs/>
          <w:szCs w:val="32"/>
        </w:rPr>
      </w:pPr>
      <w:r>
        <w:rPr>
          <w:rFonts w:hint="eastAsia" w:ascii="仿宋_GB2312" w:hAnsi="仿宋"/>
          <w:b/>
          <w:bCs/>
          <w:szCs w:val="32"/>
        </w:rPr>
        <w:t>《2020年度</w:t>
      </w:r>
      <w:r>
        <w:rPr>
          <w:rFonts w:hint="eastAsia" w:ascii="仿宋_GB2312" w:hAnsi="仿宋"/>
          <w:b/>
          <w:bCs/>
          <w:szCs w:val="32"/>
          <w:lang w:eastAsia="zh-CN"/>
        </w:rPr>
        <w:t>购买服务支出</w:t>
      </w:r>
      <w:r>
        <w:rPr>
          <w:rFonts w:hint="eastAsia" w:ascii="仿宋_GB2312" w:hAnsi="仿宋"/>
          <w:b/>
          <w:bCs/>
          <w:szCs w:val="32"/>
        </w:rPr>
        <w:t>项目绩效评价报告》见“第五部分附件”。</w:t>
      </w:r>
    </w:p>
    <w:p>
      <w:pPr>
        <w:adjustRightInd w:val="0"/>
        <w:snapToGrid w:val="0"/>
        <w:spacing w:line="600" w:lineRule="exact"/>
        <w:ind w:firstLine="640" w:firstLineChars="200"/>
        <w:outlineLvl w:val="1"/>
        <w:rPr>
          <w:rFonts w:hint="eastAsia" w:ascii="黑体" w:hAnsi="黑体" w:eastAsia="黑体"/>
          <w:szCs w:val="32"/>
        </w:rPr>
      </w:pPr>
      <w:r>
        <w:rPr>
          <w:rFonts w:hint="eastAsia" w:ascii="黑体" w:hAnsi="黑体" w:eastAsia="黑体"/>
          <w:szCs w:val="32"/>
        </w:rPr>
        <w:t>第四部分 名词解释</w:t>
      </w:r>
    </w:p>
    <w:p>
      <w:pPr>
        <w:adjustRightInd w:val="0"/>
        <w:snapToGrid w:val="0"/>
        <w:spacing w:line="600" w:lineRule="exact"/>
        <w:ind w:left="425" w:firstLine="206" w:firstLineChars="64"/>
        <w:rPr>
          <w:rFonts w:hint="eastAsia" w:ascii="仿宋_GB2312" w:hAnsi="仿宋"/>
          <w:szCs w:val="32"/>
        </w:rPr>
      </w:pPr>
      <w:r>
        <w:rPr>
          <w:rFonts w:hint="eastAsia" w:ascii="仿宋_GB2312" w:hAnsi="仿宋"/>
          <w:b/>
          <w:szCs w:val="32"/>
        </w:rPr>
        <w:t>一、财政拨款收入：</w:t>
      </w:r>
      <w:r>
        <w:rPr>
          <w:rFonts w:hint="eastAsia" w:ascii="仿宋_GB2312" w:hAnsi="仿宋"/>
          <w:szCs w:val="32"/>
        </w:rPr>
        <w:t>指单位从同级财政部门取得的财政预算资金。</w:t>
      </w:r>
    </w:p>
    <w:p>
      <w:pPr>
        <w:pStyle w:val="3"/>
        <w:adjustRightInd w:val="0"/>
        <w:snapToGrid w:val="0"/>
        <w:spacing w:line="600" w:lineRule="exact"/>
        <w:ind w:firstLine="630" w:firstLineChars="196"/>
        <w:rPr>
          <w:rFonts w:hint="eastAsia" w:ascii="仿宋_GB2312" w:hAnsi="黑体"/>
          <w:b/>
          <w:bCs/>
          <w:szCs w:val="32"/>
        </w:rPr>
      </w:pPr>
      <w:r>
        <w:rPr>
          <w:rFonts w:hint="eastAsia" w:ascii="仿宋_GB2312" w:hAnsi="黑体" w:eastAsia="仿宋_GB2312"/>
          <w:b/>
          <w:sz w:val="32"/>
          <w:szCs w:val="32"/>
          <w:lang w:eastAsia="zh-CN"/>
        </w:rPr>
        <w:t>二</w:t>
      </w:r>
      <w:r>
        <w:rPr>
          <w:rFonts w:hint="eastAsia" w:ascii="仿宋_GB2312" w:hAnsi="黑体" w:eastAsia="仿宋_GB2312"/>
          <w:b/>
          <w:sz w:val="32"/>
          <w:szCs w:val="32"/>
        </w:rPr>
        <w:t>、</w:t>
      </w:r>
      <w:r>
        <w:rPr>
          <w:rFonts w:hint="eastAsia" w:ascii="仿宋_GB2312" w:hAnsi="黑体" w:eastAsia="仿宋_GB2312"/>
          <w:b/>
          <w:bCs/>
          <w:sz w:val="32"/>
          <w:szCs w:val="32"/>
        </w:rPr>
        <w:t>其他收入：</w:t>
      </w:r>
      <w:r>
        <w:rPr>
          <w:rFonts w:hint="eastAsia" w:ascii="仿宋_GB2312" w:hAnsi="黑体" w:eastAsia="仿宋_GB2312"/>
          <w:bCs/>
          <w:sz w:val="32"/>
          <w:szCs w:val="32"/>
        </w:rPr>
        <w:t>指除财政拨款收入、事业收入、上级补助收入、附属单位上缴收入、经营收入以外的各项收入</w:t>
      </w:r>
      <w:r>
        <w:rPr>
          <w:rFonts w:hint="eastAsia" w:ascii="仿宋_GB2312" w:hAnsi="黑体" w:eastAsia="仿宋_GB2312"/>
          <w:bCs/>
          <w:color w:val="FF0000"/>
          <w:sz w:val="32"/>
          <w:szCs w:val="32"/>
        </w:rPr>
        <w:t>。</w:t>
      </w:r>
    </w:p>
    <w:p>
      <w:pPr>
        <w:pStyle w:val="3"/>
        <w:adjustRightInd w:val="0"/>
        <w:snapToGrid w:val="0"/>
        <w:spacing w:before="0" w:beforeAutospacing="0" w:after="0" w:afterAutospacing="0" w:line="600" w:lineRule="exact"/>
        <w:ind w:firstLine="630" w:firstLineChars="196"/>
        <w:rPr>
          <w:rFonts w:hint="eastAsia" w:ascii="仿宋_GB2312" w:hAnsi="黑体" w:eastAsia="仿宋_GB2312"/>
          <w:bCs/>
          <w:sz w:val="32"/>
          <w:szCs w:val="32"/>
        </w:rPr>
      </w:pPr>
      <w:r>
        <w:rPr>
          <w:rFonts w:hint="eastAsia" w:ascii="仿宋_GB2312" w:hAnsi="黑体" w:eastAsia="仿宋_GB2312"/>
          <w:b/>
          <w:bCs/>
          <w:sz w:val="32"/>
          <w:szCs w:val="32"/>
          <w:lang w:eastAsia="zh-CN"/>
        </w:rPr>
        <w:t>三</w:t>
      </w:r>
      <w:r>
        <w:rPr>
          <w:rFonts w:hint="eastAsia" w:ascii="仿宋_GB2312" w:hAnsi="黑体" w:eastAsia="仿宋_GB2312"/>
          <w:b/>
          <w:bCs/>
          <w:sz w:val="32"/>
          <w:szCs w:val="32"/>
        </w:rPr>
        <w:t>、年初结转和结余：</w:t>
      </w:r>
      <w:r>
        <w:rPr>
          <w:rFonts w:hint="eastAsia" w:ascii="仿宋_GB2312" w:hAnsi="黑体" w:eastAsia="仿宋_GB2312"/>
          <w:bCs/>
          <w:sz w:val="32"/>
          <w:szCs w:val="32"/>
        </w:rPr>
        <w:t>指以前年度安排、结转到本年仍按原规定用途继续使用的资金。</w:t>
      </w:r>
    </w:p>
    <w:p>
      <w:pPr>
        <w:pStyle w:val="3"/>
        <w:adjustRightInd w:val="0"/>
        <w:snapToGrid w:val="0"/>
        <w:spacing w:before="0" w:beforeAutospacing="0" w:after="0" w:afterAutospacing="0" w:line="600" w:lineRule="exact"/>
        <w:ind w:firstLine="630" w:firstLineChars="196"/>
        <w:rPr>
          <w:rFonts w:hint="eastAsia" w:ascii="仿宋_GB2312" w:hAnsi="黑体" w:eastAsia="仿宋_GB2312"/>
          <w:bCs/>
          <w:sz w:val="32"/>
          <w:szCs w:val="32"/>
        </w:rPr>
      </w:pPr>
      <w:r>
        <w:rPr>
          <w:rFonts w:hint="eastAsia" w:ascii="仿宋_GB2312" w:hAnsi="黑体" w:eastAsia="仿宋_GB2312"/>
          <w:b/>
          <w:bCs/>
          <w:sz w:val="32"/>
          <w:szCs w:val="32"/>
          <w:lang w:eastAsia="zh-CN"/>
        </w:rPr>
        <w:t>四</w:t>
      </w:r>
      <w:r>
        <w:rPr>
          <w:rFonts w:hint="eastAsia" w:ascii="仿宋_GB2312" w:hAnsi="黑体" w:eastAsia="仿宋_GB2312"/>
          <w:b/>
          <w:bCs/>
          <w:sz w:val="32"/>
          <w:szCs w:val="32"/>
        </w:rPr>
        <w:t>、结余分配：</w:t>
      </w:r>
      <w:r>
        <w:rPr>
          <w:rFonts w:hint="eastAsia" w:ascii="仿宋_GB2312" w:hAnsi="黑体" w:eastAsia="仿宋_GB2312"/>
          <w:bCs/>
          <w:sz w:val="32"/>
          <w:szCs w:val="32"/>
        </w:rPr>
        <w:t>指事业单位按照会计制度规定缴纳的所得税以及从非财政拨款结余中提取的职工福利基金、事业基金等。</w:t>
      </w:r>
    </w:p>
    <w:p>
      <w:pPr>
        <w:pStyle w:val="3"/>
        <w:adjustRightInd w:val="0"/>
        <w:snapToGrid w:val="0"/>
        <w:spacing w:before="0" w:beforeAutospacing="0" w:after="0" w:afterAutospacing="0" w:line="600" w:lineRule="exact"/>
        <w:ind w:firstLine="630" w:firstLineChars="196"/>
        <w:rPr>
          <w:rFonts w:hint="eastAsia" w:ascii="仿宋_GB2312" w:hAnsi="黑体" w:eastAsia="仿宋_GB2312"/>
          <w:b/>
          <w:sz w:val="32"/>
          <w:szCs w:val="32"/>
        </w:rPr>
      </w:pPr>
      <w:r>
        <w:rPr>
          <w:rFonts w:hint="eastAsia" w:ascii="仿宋_GB2312" w:hAnsi="黑体" w:eastAsia="仿宋_GB2312"/>
          <w:b/>
          <w:bCs/>
          <w:sz w:val="32"/>
          <w:szCs w:val="32"/>
          <w:lang w:eastAsia="zh-CN"/>
        </w:rPr>
        <w:t>五</w:t>
      </w:r>
      <w:r>
        <w:rPr>
          <w:rFonts w:hint="eastAsia" w:ascii="仿宋_GB2312" w:hAnsi="黑体" w:eastAsia="仿宋_GB2312"/>
          <w:b/>
          <w:bCs/>
          <w:sz w:val="32"/>
          <w:szCs w:val="32"/>
        </w:rPr>
        <w:t>、年末结转和结余：</w:t>
      </w:r>
      <w:r>
        <w:rPr>
          <w:rFonts w:hint="eastAsia" w:ascii="仿宋_GB2312" w:hAnsi="黑体" w:eastAsia="仿宋_GB2312"/>
          <w:bCs/>
          <w:sz w:val="32"/>
          <w:szCs w:val="32"/>
        </w:rPr>
        <w:t>指单位本年度或以前年度预算安排、因客观条件发生变化未全部执行或未执行，结转到以后年度继续使用的资金，或项目已经完成等产生的结余资金。</w:t>
      </w:r>
    </w:p>
    <w:p>
      <w:pPr>
        <w:pStyle w:val="3"/>
        <w:adjustRightInd w:val="0"/>
        <w:snapToGrid w:val="0"/>
        <w:spacing w:before="0" w:beforeAutospacing="0" w:after="0" w:afterAutospacing="0" w:line="600" w:lineRule="exact"/>
        <w:ind w:firstLine="630" w:firstLineChars="196"/>
        <w:rPr>
          <w:rFonts w:hint="eastAsia" w:ascii="仿宋_GB2312" w:hAnsi="黑体" w:eastAsia="仿宋_GB2312"/>
          <w:sz w:val="32"/>
          <w:szCs w:val="32"/>
        </w:rPr>
      </w:pPr>
      <w:r>
        <w:rPr>
          <w:rFonts w:hint="eastAsia" w:ascii="仿宋_GB2312" w:hAnsi="黑体" w:eastAsia="仿宋_GB2312"/>
          <w:b/>
          <w:sz w:val="32"/>
          <w:szCs w:val="32"/>
          <w:lang w:eastAsia="zh-CN"/>
        </w:rPr>
        <w:t>六</w:t>
      </w:r>
      <w:r>
        <w:rPr>
          <w:rFonts w:hint="eastAsia" w:ascii="仿宋_GB2312" w:hAnsi="黑体" w:eastAsia="仿宋_GB2312"/>
          <w:b/>
          <w:sz w:val="32"/>
          <w:szCs w:val="32"/>
        </w:rPr>
        <w:t>、基本支出：</w:t>
      </w:r>
      <w:r>
        <w:rPr>
          <w:rFonts w:hint="eastAsia" w:ascii="仿宋_GB2312" w:hAnsi="黑体" w:eastAsia="仿宋_GB2312"/>
          <w:sz w:val="32"/>
          <w:szCs w:val="32"/>
        </w:rPr>
        <w:t>指单位为保障其机构正常运转、完成日常工作任务而发生的人员支出和公用支出。</w:t>
      </w:r>
    </w:p>
    <w:p>
      <w:pPr>
        <w:pStyle w:val="3"/>
        <w:spacing w:before="0" w:beforeAutospacing="0" w:after="0" w:afterAutospacing="0" w:line="600" w:lineRule="exact"/>
        <w:ind w:firstLine="630" w:firstLineChars="196"/>
        <w:jc w:val="both"/>
        <w:rPr>
          <w:rFonts w:hint="eastAsia" w:ascii="仿宋_GB2312" w:hAnsi="黑体" w:eastAsia="仿宋_GB2312"/>
          <w:sz w:val="32"/>
          <w:szCs w:val="32"/>
        </w:rPr>
      </w:pPr>
      <w:r>
        <w:rPr>
          <w:rFonts w:hint="eastAsia" w:ascii="仿宋_GB2312" w:hAnsi="黑体" w:eastAsia="仿宋_GB2312"/>
          <w:b/>
          <w:sz w:val="32"/>
          <w:szCs w:val="32"/>
          <w:lang w:eastAsia="zh-CN"/>
        </w:rPr>
        <w:t>七</w:t>
      </w:r>
      <w:r>
        <w:rPr>
          <w:rFonts w:hint="eastAsia" w:ascii="仿宋_GB2312" w:hAnsi="黑体" w:eastAsia="仿宋_GB2312"/>
          <w:b/>
          <w:sz w:val="32"/>
          <w:szCs w:val="32"/>
        </w:rPr>
        <w:t>、项目支出：</w:t>
      </w:r>
      <w:r>
        <w:rPr>
          <w:rFonts w:hint="eastAsia" w:ascii="仿宋_GB2312" w:hAnsi="黑体" w:eastAsia="仿宋_GB2312"/>
          <w:sz w:val="32"/>
          <w:szCs w:val="32"/>
        </w:rPr>
        <w:t>指单位为完成特定行政任务和事业发展目标在基本支出之外所发生的支出。</w:t>
      </w:r>
    </w:p>
    <w:p>
      <w:pPr>
        <w:pStyle w:val="3"/>
        <w:spacing w:before="0" w:beforeAutospacing="0" w:after="0" w:afterAutospacing="0" w:line="600" w:lineRule="exact"/>
        <w:ind w:firstLine="630" w:firstLineChars="196"/>
        <w:jc w:val="both"/>
        <w:rPr>
          <w:rFonts w:hint="eastAsia" w:ascii="仿宋_GB2312" w:hAnsi="黑体" w:eastAsia="仿宋_GB2312"/>
          <w:b/>
          <w:sz w:val="32"/>
          <w:szCs w:val="32"/>
        </w:rPr>
      </w:pPr>
      <w:r>
        <w:rPr>
          <w:rFonts w:hint="eastAsia" w:ascii="仿宋_GB2312" w:hAnsi="黑体" w:eastAsia="仿宋_GB2312"/>
          <w:b/>
          <w:sz w:val="32"/>
          <w:szCs w:val="32"/>
          <w:lang w:eastAsia="zh-CN"/>
        </w:rPr>
        <w:t>八</w:t>
      </w:r>
      <w:r>
        <w:rPr>
          <w:rFonts w:hint="eastAsia" w:ascii="仿宋_GB2312" w:hAnsi="黑体" w:eastAsia="仿宋_GB2312"/>
          <w:b/>
          <w:sz w:val="32"/>
          <w:szCs w:val="32"/>
        </w:rPr>
        <w:t>、“三公”经费：</w:t>
      </w:r>
      <w:r>
        <w:rPr>
          <w:rFonts w:hint="eastAsia" w:ascii="仿宋_GB2312" w:hAnsi="黑体" w:eastAsia="仿宋_GB2312"/>
          <w:sz w:val="32"/>
          <w:szCs w:val="32"/>
        </w:rPr>
        <w:t>纳入财政预决算管理的“三公”经费，是指单位用财政拨款安排的因公出国（境）</w:t>
      </w:r>
      <w:bookmarkStart w:id="0" w:name="_GoBack"/>
      <w:bookmarkEnd w:id="0"/>
      <w:r>
        <w:rPr>
          <w:rFonts w:hint="eastAsia" w:ascii="仿宋_GB2312" w:hAnsi="黑体" w:eastAsia="仿宋_GB2312"/>
          <w:sz w:val="32"/>
          <w:szCs w:val="32"/>
        </w:rPr>
        <w:t>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pPr>
        <w:pStyle w:val="3"/>
        <w:spacing w:before="0" w:beforeAutospacing="0" w:after="0" w:afterAutospacing="0" w:line="600" w:lineRule="exact"/>
        <w:ind w:firstLine="630" w:firstLineChars="196"/>
        <w:jc w:val="both"/>
        <w:rPr>
          <w:rFonts w:hint="eastAsia" w:ascii="仿宋_GB2312" w:hAnsi="黑体" w:eastAsia="仿宋_GB2312"/>
          <w:b/>
          <w:sz w:val="32"/>
          <w:szCs w:val="32"/>
        </w:rPr>
      </w:pPr>
      <w:r>
        <w:rPr>
          <w:rFonts w:hint="eastAsia" w:ascii="仿宋_GB2312" w:hAnsi="黑体" w:eastAsia="仿宋_GB2312"/>
          <w:b/>
          <w:sz w:val="32"/>
          <w:szCs w:val="32"/>
          <w:lang w:eastAsia="zh-CN"/>
        </w:rPr>
        <w:t>九</w:t>
      </w:r>
      <w:r>
        <w:rPr>
          <w:rFonts w:hint="eastAsia" w:ascii="仿宋_GB2312" w:hAnsi="黑体" w:eastAsia="仿宋_GB2312"/>
          <w:b/>
          <w:sz w:val="32"/>
          <w:szCs w:val="32"/>
        </w:rPr>
        <w:t>、机关运行经费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pPr>
        <w:adjustRightInd w:val="0"/>
        <w:snapToGrid w:val="0"/>
        <w:spacing w:line="600" w:lineRule="exact"/>
        <w:ind w:firstLine="640" w:firstLineChars="200"/>
        <w:rPr>
          <w:rFonts w:hint="eastAsia" w:ascii="宋体" w:hAnsi="宋体"/>
          <w:b/>
          <w:sz w:val="36"/>
          <w:szCs w:val="36"/>
        </w:rPr>
      </w:pPr>
      <w:r>
        <w:rPr>
          <w:rFonts w:hint="eastAsia" w:ascii="黑体" w:hAnsi="黑体" w:eastAsia="黑体"/>
          <w:szCs w:val="32"/>
        </w:rPr>
        <w:t>第</w:t>
      </w:r>
      <w:r>
        <w:rPr>
          <w:rFonts w:hint="eastAsia" w:ascii="黑体" w:hAnsi="黑体" w:eastAsia="黑体"/>
          <w:szCs w:val="32"/>
          <w:lang w:eastAsia="zh-CN"/>
        </w:rPr>
        <w:t>五</w:t>
      </w:r>
      <w:r>
        <w:rPr>
          <w:rFonts w:hint="eastAsia" w:ascii="黑体" w:hAnsi="黑体" w:eastAsia="黑体"/>
          <w:szCs w:val="32"/>
        </w:rPr>
        <w:t xml:space="preserve">部分 </w:t>
      </w:r>
      <w:r>
        <w:rPr>
          <w:rFonts w:hint="eastAsia" w:ascii="黑体" w:hAnsi="黑体" w:eastAsia="黑体"/>
          <w:szCs w:val="32"/>
          <w:lang w:eastAsia="zh-CN"/>
        </w:rPr>
        <w:t>附件</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792" w:firstLineChars="200"/>
        <w:jc w:val="center"/>
        <w:textAlignment w:val="auto"/>
        <w:rPr>
          <w:rFonts w:hint="eastAsia" w:ascii="黑体" w:hAnsi="黑体" w:eastAsia="黑体"/>
          <w:kern w:val="0"/>
          <w:sz w:val="44"/>
          <w:szCs w:val="44"/>
        </w:rPr>
      </w:pPr>
      <w:r>
        <w:rPr>
          <w:rFonts w:hint="eastAsia" w:eastAsia="方正小标宋_GBK"/>
          <w:w w:val="90"/>
          <w:sz w:val="44"/>
          <w:szCs w:val="44"/>
          <w:lang w:eastAsia="zh-CN"/>
        </w:rPr>
        <w:t>购买服务</w:t>
      </w:r>
      <w:r>
        <w:rPr>
          <w:rFonts w:hint="eastAsia" w:eastAsia="方正小标宋_GBK"/>
          <w:w w:val="90"/>
          <w:sz w:val="44"/>
          <w:szCs w:val="44"/>
        </w:rPr>
        <w:t>项目支出绩效评价报告</w:t>
      </w:r>
    </w:p>
    <w:p>
      <w:pPr>
        <w:spacing w:line="560" w:lineRule="exact"/>
        <w:ind w:firstLine="640" w:firstLineChars="200"/>
        <w:rPr>
          <w:rFonts w:hint="eastAsia" w:ascii="黑体" w:hAnsi="黑体" w:eastAsia="黑体"/>
          <w:kern w:val="0"/>
          <w:szCs w:val="32"/>
        </w:rPr>
      </w:pPr>
      <w:r>
        <w:rPr>
          <w:rFonts w:hint="eastAsia" w:ascii="黑体" w:hAnsi="黑体" w:eastAsia="黑体"/>
          <w:kern w:val="0"/>
          <w:szCs w:val="32"/>
        </w:rPr>
        <w:t>一、项目基本情况</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（一）项目概况。</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项目背景</w:t>
      </w:r>
    </w:p>
    <w:p>
      <w:p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由于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我中心为窗口服务单位，区县及市本级有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7个业务网点，</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在编人员不够使用，故</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增加</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聘用</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人员以充实</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服务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队伍。</w:t>
      </w:r>
    </w:p>
    <w:p>
      <w:pPr>
        <w:numPr>
          <w:ilvl w:val="0"/>
          <w:numId w:val="0"/>
        </w:num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主要内容及实施情况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该项目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主要用</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于劳务派遣人员及临工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年全年工资、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绩效、一次性奖励、五险一金的发放缴纳</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项目自20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月起执行</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pPr>
        <w:numPr>
          <w:ilvl w:val="0"/>
          <w:numId w:val="0"/>
        </w:numPr>
        <w:spacing w:line="560" w:lineRule="exact"/>
        <w:ind w:left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资金投入和使用情况。</w:t>
      </w:r>
    </w:p>
    <w:p>
      <w:pPr>
        <w:spacing w:line="540" w:lineRule="exact"/>
        <w:ind w:firstLine="640" w:firstLineChars="200"/>
        <w:rPr>
          <w:rFonts w:hint="eastAsia" w:ascii="仿宋_GB2312" w:hAnsi="仿宋_GB2312" w:eastAsia="仿宋_GB2312" w:cs="仿宋_GB2312"/>
          <w:color w:val="000000" w:themeColor="text1"/>
          <w:kern w:val="4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44"/>
          <w:sz w:val="32"/>
          <w:szCs w:val="32"/>
          <w:lang w:val="en-US" w:eastAsia="zh-CN"/>
          <w14:textFill>
            <w14:solidFill>
              <w14:schemeClr w14:val="tx1"/>
            </w14:solidFill>
          </w14:textFill>
        </w:rPr>
        <w:t>项目资金总投入234.83万元。实际开支金额181.34万</w:t>
      </w:r>
    </w:p>
    <w:p>
      <w:pPr>
        <w:numPr>
          <w:ilvl w:val="0"/>
          <w:numId w:val="3"/>
        </w:numPr>
        <w:spacing w:line="56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保障日常办公及业务开展，维护聘用人员权益，保障住房公积金业务正常开展，提升服务水平</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spacing w:line="560" w:lineRule="exact"/>
        <w:ind w:firstLine="640" w:firstLineChars="200"/>
        <w:rPr>
          <w:rFonts w:hint="eastAsia" w:ascii="黑体" w:hAnsi="黑体" w:eastAsia="黑体"/>
          <w:kern w:val="0"/>
          <w:szCs w:val="32"/>
        </w:rPr>
      </w:pPr>
      <w:r>
        <w:rPr>
          <w:rFonts w:hint="eastAsia" w:ascii="黑体" w:hAnsi="黑体" w:eastAsia="黑体"/>
          <w:kern w:val="0"/>
          <w:szCs w:val="32"/>
        </w:rPr>
        <w:t>二、绩效评价工作开展情况</w:t>
      </w:r>
    </w:p>
    <w:p>
      <w:pPr>
        <w:spacing w:line="560" w:lineRule="exact"/>
        <w:ind w:firstLine="600"/>
        <w:rPr>
          <w:rFonts w:hint="eastAsia" w:ascii="仿宋_GB2312" w:hAnsi="黑体"/>
          <w:color w:val="000000" w:themeColor="text1"/>
          <w:kern w:val="0"/>
          <w:szCs w:val="32"/>
          <w:highlight w:val="none"/>
          <w14:textFill>
            <w14:solidFill>
              <w14:schemeClr w14:val="tx1"/>
            </w14:solidFill>
          </w14:textFill>
        </w:rPr>
      </w:pPr>
      <w:r>
        <w:rPr>
          <w:rFonts w:hint="eastAsia" w:ascii="仿宋_GB2312" w:hAnsi="黑体"/>
          <w:kern w:val="0"/>
          <w:szCs w:val="32"/>
        </w:rPr>
        <w:t>（一）绩效评价目的、对象和范围。</w:t>
      </w:r>
      <w:r>
        <w:rPr>
          <w:rFonts w:hint="eastAsia" w:ascii="仿宋_GB2312" w:hAnsi="仿宋_GB2312" w:eastAsia="仿宋_GB2312" w:cs="仿宋_GB2312"/>
          <w:sz w:val="32"/>
          <w:szCs w:val="32"/>
          <w:lang w:val="en-US" w:eastAsia="zh-CN"/>
        </w:rPr>
        <w:t>本次绩效评价对象为</w:t>
      </w:r>
      <w:r>
        <w:rPr>
          <w:rFonts w:hint="eastAsia" w:ascii="仿宋_GB2312" w:hAnsi="仿宋_GB2312" w:cs="仿宋_GB2312"/>
          <w:sz w:val="32"/>
          <w:szCs w:val="32"/>
          <w:lang w:val="en-US" w:eastAsia="zh-CN"/>
        </w:rPr>
        <w:t>购</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买服务支出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项目，对项目的决策、管理、产出及效果方面进行较为全面的分析和评价，以客观反映项目绩效管理过程，促进经验总结、发现问题、改进工作，提高资金使用效益。</w:t>
      </w:r>
    </w:p>
    <w:p>
      <w:pPr>
        <w:numPr>
          <w:ilvl w:val="0"/>
          <w:numId w:val="0"/>
        </w:numPr>
        <w:spacing w:line="560" w:lineRule="exact"/>
        <w:ind w:leftChars="200"/>
        <w:rPr>
          <w:rFonts w:hint="eastAsia" w:ascii="仿宋_GB2312" w:hAnsi="黑体"/>
          <w:color w:val="000000" w:themeColor="text1"/>
          <w:kern w:val="0"/>
          <w:szCs w:val="32"/>
          <w:highlight w:val="none"/>
          <w:lang w:eastAsia="zh-CN"/>
          <w14:textFill>
            <w14:solidFill>
              <w14:schemeClr w14:val="tx1"/>
            </w14:solidFill>
          </w14:textFill>
        </w:rPr>
      </w:pPr>
      <w:r>
        <w:rPr>
          <w:rFonts w:hint="eastAsia" w:ascii="仿宋_GB2312" w:hAnsi="黑体"/>
          <w:color w:val="000000" w:themeColor="text1"/>
          <w:kern w:val="0"/>
          <w:szCs w:val="32"/>
          <w:highlight w:val="none"/>
          <w:lang w:eastAsia="zh-CN"/>
          <w14:textFill>
            <w14:solidFill>
              <w14:schemeClr w14:val="tx1"/>
            </w14:solidFill>
          </w14:textFill>
        </w:rPr>
        <w:t>（二）</w:t>
      </w:r>
      <w:r>
        <w:rPr>
          <w:rFonts w:hint="eastAsia" w:ascii="仿宋_GB2312" w:hAnsi="黑体"/>
          <w:color w:val="000000" w:themeColor="text1"/>
          <w:kern w:val="0"/>
          <w:szCs w:val="32"/>
          <w:highlight w:val="none"/>
          <w14:textFill>
            <w14:solidFill>
              <w14:schemeClr w14:val="tx1"/>
            </w14:solidFill>
          </w14:textFill>
        </w:rPr>
        <w:t>绩效评价原则</w:t>
      </w:r>
      <w:r>
        <w:rPr>
          <w:rFonts w:hint="eastAsia" w:ascii="仿宋_GB2312" w:hAnsi="黑体"/>
          <w:color w:val="000000" w:themeColor="text1"/>
          <w:kern w:val="0"/>
          <w:szCs w:val="32"/>
          <w:highlight w:val="none"/>
          <w:lang w:eastAsia="zh-CN"/>
          <w14:textFill>
            <w14:solidFill>
              <w14:schemeClr w14:val="tx1"/>
            </w14:solidFill>
          </w14:textFill>
        </w:rPr>
        <w:t>。客观公平、有效性</w:t>
      </w:r>
    </w:p>
    <w:p>
      <w:pPr>
        <w:numPr>
          <w:ilvl w:val="0"/>
          <w:numId w:val="0"/>
        </w:numPr>
        <w:spacing w:line="560" w:lineRule="exact"/>
        <w:ind w:leftChars="200"/>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仿宋_GB2312" w:hAnsi="黑体"/>
          <w:color w:val="000000" w:themeColor="text1"/>
          <w:kern w:val="0"/>
          <w:szCs w:val="32"/>
          <w:highlight w:val="none"/>
          <w:lang w:eastAsia="zh-CN"/>
          <w14:textFill>
            <w14:solidFill>
              <w14:schemeClr w14:val="tx1"/>
            </w14:solidFill>
          </w14:textFill>
        </w:rPr>
        <w:t>（三）</w:t>
      </w:r>
      <w:r>
        <w:rPr>
          <w:rFonts w:hint="eastAsia" w:ascii="仿宋_GB2312" w:hAnsi="黑体"/>
          <w:color w:val="000000" w:themeColor="text1"/>
          <w:kern w:val="0"/>
          <w:szCs w:val="32"/>
          <w:highlight w:val="none"/>
          <w14:textFill>
            <w14:solidFill>
              <w14:schemeClr w14:val="tx1"/>
            </w14:solidFill>
          </w14:textFill>
        </w:rPr>
        <w:t>评价指标体系</w:t>
      </w:r>
      <w:r>
        <w:rPr>
          <w:rFonts w:hint="eastAsia" w:ascii="仿宋_GB2312" w:hAnsi="黑体"/>
          <w:color w:val="000000" w:themeColor="text1"/>
          <w:kern w:val="0"/>
          <w:szCs w:val="32"/>
          <w:highlight w:val="none"/>
          <w:lang w:eastAsia="zh-CN"/>
          <w14:textFill>
            <w14:solidFill>
              <w14:schemeClr w14:val="tx1"/>
            </w14:solidFill>
          </w14:textFill>
        </w:rPr>
        <w:t>。</w:t>
      </w:r>
      <w:r>
        <w:rPr>
          <w:rFonts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绩效评价指标设计采用</w:t>
      </w: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3级递</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层次结构，一级指标规定了绩效维度，二级指标规定了评价内容，三级指标规定了评价要素</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w:t>
      </w:r>
    </w:p>
    <w:p>
      <w:pPr>
        <w:numPr>
          <w:ilvl w:val="0"/>
          <w:numId w:val="0"/>
        </w:numPr>
        <w:spacing w:line="560" w:lineRule="exact"/>
        <w:jc w:val="left"/>
        <w:rPr>
          <w:rFonts w:hint="eastAsia" w:ascii="仿宋_GB2312" w:hAnsi="黑体" w:eastAsia="仿宋"/>
          <w:color w:val="000000" w:themeColor="text1"/>
          <w:kern w:val="0"/>
          <w:szCs w:val="32"/>
          <w:highlight w:val="none"/>
          <w:lang w:val="en-US" w:eastAsia="zh-CN"/>
          <w14:textFill>
            <w14:solidFill>
              <w14:schemeClr w14:val="tx1"/>
            </w14:solidFill>
          </w14:textFill>
        </w:rPr>
      </w:pPr>
      <w:r>
        <w:rPr>
          <w:rFonts w:hint="eastAsia" w:ascii="仿宋_GB2312" w:hAnsi="黑体"/>
          <w:color w:val="000000" w:themeColor="text1"/>
          <w:kern w:val="0"/>
          <w:szCs w:val="32"/>
          <w:highlight w:val="none"/>
          <w:lang w:eastAsia="zh-CN"/>
          <w14:textFill>
            <w14:solidFill>
              <w14:schemeClr w14:val="tx1"/>
            </w14:solidFill>
          </w14:textFill>
        </w:rPr>
        <w:t>评</w:t>
      </w:r>
      <w:r>
        <w:rPr>
          <w:rFonts w:hint="eastAsia" w:ascii="仿宋_GB2312" w:hAnsi="黑体"/>
          <w:color w:val="000000" w:themeColor="text1"/>
          <w:kern w:val="0"/>
          <w:szCs w:val="32"/>
          <w:highlight w:val="none"/>
          <w14:textFill>
            <w14:solidFill>
              <w14:schemeClr w14:val="tx1"/>
            </w14:solidFill>
          </w14:textFill>
        </w:rPr>
        <w:t>价方法</w:t>
      </w:r>
      <w:r>
        <w:rPr>
          <w:rFonts w:hint="eastAsia" w:ascii="仿宋_GB2312" w:hAnsi="黑体"/>
          <w:color w:val="000000" w:themeColor="text1"/>
          <w:kern w:val="0"/>
          <w:szCs w:val="32"/>
          <w:highlight w:val="none"/>
          <w:lang w:eastAsia="zh-CN"/>
          <w14:textFill>
            <w14:solidFill>
              <w14:schemeClr w14:val="tx1"/>
            </w14:solidFill>
          </w14:textFill>
        </w:rPr>
        <w:t>及</w:t>
      </w:r>
      <w:r>
        <w:rPr>
          <w:rFonts w:hint="eastAsia" w:ascii="仿宋_GB2312" w:hAnsi="黑体"/>
          <w:color w:val="000000" w:themeColor="text1"/>
          <w:kern w:val="0"/>
          <w:szCs w:val="32"/>
          <w:highlight w:val="none"/>
          <w14:textFill>
            <w14:solidFill>
              <w14:schemeClr w14:val="tx1"/>
            </w14:solidFill>
          </w14:textFill>
        </w:rPr>
        <w:t>评价标准</w:t>
      </w:r>
      <w:r>
        <w:rPr>
          <w:rFonts w:hint="eastAsia" w:ascii="仿宋_GB2312" w:hAnsi="黑体"/>
          <w:color w:val="000000" w:themeColor="text1"/>
          <w:kern w:val="0"/>
          <w:szCs w:val="32"/>
          <w:highlight w:val="none"/>
          <w:lang w:eastAsia="zh-CN"/>
          <w14:textFill>
            <w14:solidFill>
              <w14:schemeClr w14:val="tx1"/>
            </w14:solidFill>
          </w14:textFill>
        </w:rPr>
        <w:t>。</w:t>
      </w:r>
      <w:r>
        <w:rPr>
          <w:rFonts w:ascii="仿宋" w:hAnsi="仿宋" w:eastAsia="仿宋" w:cs="仿宋"/>
          <w:i w:val="0"/>
          <w:iCs w:val="0"/>
          <w:caps w:val="0"/>
          <w:color w:val="000000" w:themeColor="text1"/>
          <w:spacing w:val="0"/>
          <w:sz w:val="32"/>
          <w:szCs w:val="32"/>
          <w:highlight w:val="none"/>
          <w:shd w:val="clear" w:fill="FFFFFF"/>
          <w14:textFill>
            <w14:solidFill>
              <w14:schemeClr w14:val="tx1"/>
            </w14:solidFill>
          </w14:textFill>
        </w:rPr>
        <w:t>绩效评价方法综合评分采用加和法，具体为各项评价标准分值简单相加法</w:t>
      </w:r>
      <w:r>
        <w:rPr>
          <w:rFonts w:hint="eastAsia" w:ascii="仿宋" w:hAnsi="仿宋" w:eastAsia="仿宋" w:cs="仿宋"/>
          <w:i w:val="0"/>
          <w:iCs w:val="0"/>
          <w:caps w:val="0"/>
          <w:color w:val="000000" w:themeColor="text1"/>
          <w:spacing w:val="0"/>
          <w:sz w:val="32"/>
          <w:szCs w:val="32"/>
          <w:highlight w:val="none"/>
          <w:shd w:val="clear" w:fill="FFFFFF"/>
          <w:lang w:eastAsia="zh-CN"/>
          <w14:textFill>
            <w14:solidFill>
              <w14:schemeClr w14:val="tx1"/>
            </w14:solidFill>
          </w14:textFill>
        </w:rPr>
        <w:t>。</w:t>
      </w:r>
    </w:p>
    <w:p>
      <w:pPr>
        <w:spacing w:line="560" w:lineRule="exact"/>
        <w:ind w:firstLine="640" w:firstLineChars="200"/>
        <w:rPr>
          <w:rFonts w:hint="eastAsia" w:ascii="仿宋_GB2312" w:hAnsi="黑体"/>
          <w:kern w:val="0"/>
          <w:szCs w:val="32"/>
        </w:rPr>
      </w:pPr>
      <w:r>
        <w:rPr>
          <w:rFonts w:hint="eastAsia" w:ascii="仿宋_GB2312" w:hAnsi="黑体"/>
          <w:kern w:val="0"/>
          <w:szCs w:val="32"/>
        </w:rPr>
        <w:t>（</w:t>
      </w:r>
      <w:r>
        <w:rPr>
          <w:rFonts w:hint="eastAsia" w:ascii="仿宋_GB2312" w:hAnsi="黑体"/>
          <w:kern w:val="0"/>
          <w:szCs w:val="32"/>
          <w:lang w:eastAsia="zh-CN"/>
        </w:rPr>
        <w:t>四</w:t>
      </w:r>
      <w:r>
        <w:rPr>
          <w:rFonts w:hint="eastAsia" w:ascii="仿宋_GB2312" w:hAnsi="黑体"/>
          <w:kern w:val="0"/>
          <w:szCs w:val="32"/>
        </w:rPr>
        <w:t>）绩效评价工作过程。</w:t>
      </w:r>
    </w:p>
    <w:p>
      <w:pPr>
        <w:spacing w:line="560" w:lineRule="exact"/>
        <w:ind w:firstLine="600"/>
        <w:rPr>
          <w:rFonts w:hint="eastAsia" w:ascii="仿宋_GB2312" w:hAnsi="黑体"/>
          <w:kern w:val="0"/>
          <w:szCs w:val="32"/>
        </w:rPr>
      </w:pPr>
      <w:r>
        <w:rPr>
          <w:rFonts w:hint="eastAsia" w:ascii="仿宋_GB2312" w:hAnsi="仿宋_GB2312" w:eastAsia="仿宋_GB2312" w:cs="仿宋_GB2312"/>
          <w:sz w:val="32"/>
          <w:szCs w:val="32"/>
          <w:lang w:val="en-US" w:eastAsia="zh-CN"/>
        </w:rPr>
        <w:t>评价工作本着科学规范、公开公正、绩效相关的原则，采用全面评价和重点评价相结合，通过比较法，围绕项目实施情况与绩效目标、不同地区同类支出情况等进行综合比较，对决策、</w:t>
      </w:r>
      <w:r>
        <w:rPr>
          <w:rFonts w:hint="eastAsia" w:ascii="仿宋_GB2312" w:hAnsi="仿宋_GB2312" w:cs="仿宋_GB2312"/>
          <w:sz w:val="32"/>
          <w:szCs w:val="32"/>
          <w:lang w:val="en-US" w:eastAsia="zh-CN"/>
        </w:rPr>
        <w:t>过程</w:t>
      </w:r>
      <w:r>
        <w:rPr>
          <w:rFonts w:hint="eastAsia" w:ascii="仿宋_GB2312" w:hAnsi="仿宋_GB2312" w:eastAsia="仿宋_GB2312" w:cs="仿宋_GB2312"/>
          <w:sz w:val="32"/>
          <w:szCs w:val="32"/>
          <w:lang w:val="en-US" w:eastAsia="zh-CN"/>
        </w:rPr>
        <w:t>、产出和</w:t>
      </w:r>
      <w:r>
        <w:rPr>
          <w:rFonts w:hint="eastAsia" w:ascii="仿宋_GB2312" w:hAnsi="仿宋_GB2312" w:cs="仿宋_GB2312"/>
          <w:sz w:val="32"/>
          <w:szCs w:val="32"/>
          <w:lang w:val="en-US" w:eastAsia="zh-CN"/>
        </w:rPr>
        <w:t>效益</w:t>
      </w:r>
      <w:r>
        <w:rPr>
          <w:rFonts w:hint="eastAsia" w:ascii="仿宋_GB2312" w:hAnsi="仿宋_GB2312" w:eastAsia="仿宋_GB2312" w:cs="仿宋_GB2312"/>
          <w:sz w:val="32"/>
          <w:szCs w:val="32"/>
          <w:lang w:val="en-US" w:eastAsia="zh-CN"/>
        </w:rPr>
        <w:t>四个方面进行综合评价。</w:t>
      </w:r>
    </w:p>
    <w:p>
      <w:pPr>
        <w:numPr>
          <w:ilvl w:val="0"/>
          <w:numId w:val="4"/>
        </w:numPr>
        <w:spacing w:line="560" w:lineRule="exact"/>
        <w:ind w:firstLine="640" w:firstLineChars="200"/>
        <w:rPr>
          <w:rFonts w:hint="eastAsia" w:ascii="方正仿宋_GBK" w:hAnsi="黑体" w:eastAsia="方正仿宋_GBK"/>
          <w:kern w:val="0"/>
          <w:szCs w:val="32"/>
        </w:rPr>
      </w:pPr>
      <w:r>
        <w:rPr>
          <w:rFonts w:hint="eastAsia" w:ascii="黑体" w:hAnsi="黑体" w:eastAsia="黑体"/>
          <w:kern w:val="0"/>
          <w:szCs w:val="32"/>
        </w:rPr>
        <w:t>综合评价情况及评价结论</w:t>
      </w:r>
    </w:p>
    <w:p>
      <w:pPr>
        <w:spacing w:line="560" w:lineRule="exact"/>
        <w:ind w:firstLine="640" w:firstLineChars="200"/>
        <w:rPr>
          <w:rFonts w:hint="eastAsia" w:ascii="方正仿宋_GBK" w:hAnsi="黑体" w:eastAsia="方正仿宋_GBK"/>
          <w:kern w:val="0"/>
          <w:szCs w:val="32"/>
        </w:rPr>
      </w:pPr>
      <w:r>
        <w:rPr>
          <w:rFonts w:hint="eastAsia" w:ascii="仿宋_GB2312" w:hAnsi="仿宋_GB2312" w:eastAsia="仿宋_GB2312" w:cs="仿宋_GB2312"/>
          <w:kern w:val="2"/>
          <w:sz w:val="32"/>
          <w:szCs w:val="32"/>
          <w:lang w:val="en-US" w:eastAsia="zh-CN" w:bidi="ar-SA"/>
        </w:rPr>
        <w:t>经综合评定，认为购买服务支出综合评价得分97.72分，绩效评价等次为“优秀”。</w:t>
      </w:r>
    </w:p>
    <w:p>
      <w:pPr>
        <w:spacing w:line="560" w:lineRule="exact"/>
        <w:ind w:firstLine="640" w:firstLineChars="200"/>
        <w:rPr>
          <w:rFonts w:hint="eastAsia" w:ascii="仿宋_GB2312" w:hAnsi="黑体"/>
          <w:kern w:val="0"/>
          <w:szCs w:val="32"/>
        </w:rPr>
      </w:pPr>
      <w:r>
        <w:rPr>
          <w:rFonts w:hint="eastAsia" w:ascii="黑体" w:hAnsi="黑体" w:eastAsia="黑体"/>
          <w:kern w:val="0"/>
          <w:szCs w:val="32"/>
        </w:rPr>
        <w:t>四、绩效评价指标分析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（一）项目决策情况。项目资金落实到位234.83万元，且按照项目目标制定了相应的资金使用计划，工资、社保、医保实际支出181.34万元，资金执行率77.22%</w:t>
      </w:r>
      <w:r>
        <w:rPr>
          <w:rFonts w:hint="eastAsia" w:ascii="仿宋_GB2312" w:hAnsi="仿宋_GB2312" w:cs="仿宋_GB2312"/>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w:t>
      </w:r>
      <w:r>
        <w:rPr>
          <w:rFonts w:hint="eastAsia" w:ascii="仿宋_GB2312" w:hAnsi="仿宋_GB2312" w:eastAsia="仿宋_GB2312" w:cs="仿宋_GB2312"/>
          <w:sz w:val="32"/>
          <w:szCs w:val="32"/>
          <w:lang w:val="en-US" w:eastAsia="zh-CN"/>
        </w:rPr>
        <w:t>过程</w:t>
      </w:r>
      <w:r>
        <w:rPr>
          <w:rFonts w:hint="eastAsia" w:ascii="仿宋_GB2312" w:hAnsi="仿宋_GB2312" w:eastAsia="仿宋_GB2312" w:cs="仿宋_GB2312"/>
          <w:kern w:val="2"/>
          <w:sz w:val="32"/>
          <w:szCs w:val="32"/>
          <w:lang w:val="en-US" w:eastAsia="zh-CN" w:bidi="ar-SA"/>
        </w:rPr>
        <w:t>情况。项目执行过程严格按照项目管理和财务管理制度要求落实。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（三）项目产出情况。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1．产出数量指标情况分析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市本级和6个区县管理部共有18个劳务派遣人员及临工，分布在服务网点和后勤岗位，服务缴存单位超3500家。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2．产出质量指标情况分析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在项目进行过程中严格按照财经规定支付人员费用。维护用人单位和聘用人员的权益，保障住房公积金业务正常开展，较高的提升了服务水平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3．产出时效指标情况分析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由于劳务派遣人员和临工的加入，有效减轻我中心人手不足问题，大大的提升服务水平，缩短公积金业务办件时间。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4.产出成本指标得分情况逐个分析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根据《黄山市住房公积金管理中心编外聘用人员管理暂行办法（试行）》，按照标准支付共计及五险一金</w:t>
      </w:r>
      <w:r>
        <w:rPr>
          <w:rFonts w:hint="eastAsia" w:ascii="仿宋_GB2312" w:hAnsi="仿宋_GB2312" w:cs="仿宋_GB2312"/>
          <w:kern w:val="2"/>
          <w:sz w:val="32"/>
          <w:szCs w:val="32"/>
          <w:lang w:val="en-US" w:eastAsia="zh-CN" w:bidi="ar-SA"/>
        </w:rPr>
        <w:t>,不超过预算成本。</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项目效益情况。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cs="仿宋_GB2312"/>
          <w:kern w:val="2"/>
          <w:sz w:val="32"/>
          <w:szCs w:val="32"/>
          <w:lang w:val="en-US" w:eastAsia="zh-CN" w:bidi="ar-SA"/>
        </w:rPr>
        <w:t>.项目实施效益</w:t>
      </w:r>
      <w:r>
        <w:rPr>
          <w:rFonts w:hint="eastAsia" w:ascii="仿宋_GB2312" w:hAnsi="仿宋_GB2312" w:eastAsia="仿宋_GB2312" w:cs="仿宋_GB2312"/>
          <w:kern w:val="2"/>
          <w:sz w:val="32"/>
          <w:szCs w:val="32"/>
          <w:lang w:val="en-US" w:eastAsia="zh-CN" w:bidi="ar-SA"/>
        </w:rPr>
        <w:t>指标情况分析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项目的实行保障了公积金业务开展，增加扩面归集，提高了公积金使用效率；工作无差错，资金无风险</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提高了办事效率，较高的提升了公积金形象的影响程度。保障公积金业务开展，切实保障合理住房消费。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服务对象满意度指标情况分析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560" w:lineRule="exact"/>
        <w:ind w:left="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对公积金工作很满意。</w:t>
      </w:r>
    </w:p>
    <w:p>
      <w:pPr>
        <w:spacing w:line="560" w:lineRule="exact"/>
        <w:ind w:firstLine="640" w:firstLineChars="200"/>
        <w:rPr>
          <w:rFonts w:hint="eastAsia" w:ascii="黑体" w:hAnsi="黑体" w:eastAsia="黑体"/>
          <w:kern w:val="0"/>
          <w:szCs w:val="32"/>
        </w:rPr>
      </w:pPr>
      <w:r>
        <w:rPr>
          <w:rFonts w:hint="eastAsia" w:ascii="黑体" w:hAnsi="黑体" w:eastAsia="黑体"/>
          <w:kern w:val="0"/>
          <w:szCs w:val="32"/>
        </w:rPr>
        <w:t>五、主要经验及做法</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此项目制定了聘用人员管理规定、考勤管理制度等，明确了日常考核的方式，通过与单位其他人员共同考核，定期分析人员工作能力及岗位匹配度，确保聘用人员胜任岗位。</w:t>
      </w:r>
    </w:p>
    <w:p>
      <w:pPr>
        <w:numPr>
          <w:ilvl w:val="0"/>
          <w:numId w:val="5"/>
        </w:numPr>
        <w:spacing w:line="560" w:lineRule="exact"/>
        <w:ind w:firstLine="640" w:firstLineChars="200"/>
        <w:rPr>
          <w:rFonts w:hint="eastAsia" w:ascii="黑体" w:hAnsi="黑体" w:eastAsia="黑体"/>
          <w:kern w:val="0"/>
          <w:szCs w:val="32"/>
        </w:rPr>
      </w:pPr>
      <w:r>
        <w:rPr>
          <w:rFonts w:hint="eastAsia" w:ascii="黑体" w:hAnsi="黑体" w:eastAsia="黑体"/>
          <w:kern w:val="0"/>
          <w:szCs w:val="32"/>
        </w:rPr>
        <w:t>存在问题及原因分析</w:t>
      </w:r>
    </w:p>
    <w:p>
      <w:pPr>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人员流动性大。无编制，很多劳务派遣人员不愿意长久的留在本单位。新来的员工需要上岗培训，花费时间长，培训成本大。</w:t>
      </w:r>
    </w:p>
    <w:p>
      <w:pPr>
        <w:spacing w:line="560" w:lineRule="exact"/>
        <w:ind w:firstLine="640" w:firstLineChars="200"/>
        <w:rPr>
          <w:rFonts w:hint="eastAsia" w:ascii="黑体" w:hAnsi="黑体" w:eastAsia="黑体"/>
          <w:kern w:val="0"/>
          <w:szCs w:val="32"/>
        </w:rPr>
      </w:pPr>
      <w:r>
        <w:rPr>
          <w:rFonts w:hint="eastAsia" w:ascii="黑体" w:hAnsi="黑体" w:eastAsia="黑体"/>
          <w:kern w:val="0"/>
          <w:szCs w:val="32"/>
        </w:rPr>
        <w:t>七、有关建议</w:t>
      </w:r>
    </w:p>
    <w:p>
      <w:p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进一步规范人员管理，及时掌握聘用人员工作效能情况。</w:t>
      </w:r>
    </w:p>
    <w:p>
      <w:pPr>
        <w:ind w:left="1700" w:leftChars="250" w:hanging="900" w:hangingChars="249"/>
        <w:jc w:val="center"/>
        <w:rPr>
          <w:rFonts w:hint="eastAsia" w:ascii="宋体" w:hAnsi="宋体"/>
          <w:b/>
          <w:sz w:val="36"/>
          <w:szCs w:val="36"/>
        </w:rPr>
      </w:pPr>
    </w:p>
    <w:p>
      <w:pPr>
        <w:ind w:left="1700" w:leftChars="250" w:hanging="900" w:hangingChars="249"/>
        <w:jc w:val="center"/>
        <w:rPr>
          <w:rFonts w:hint="eastAsia" w:ascii="宋体" w:hAnsi="宋体"/>
          <w:b/>
          <w:sz w:val="36"/>
          <w:szCs w:val="36"/>
        </w:rPr>
      </w:pPr>
    </w:p>
    <w:p>
      <w:pPr>
        <w:ind w:left="1700" w:leftChars="250" w:hanging="900" w:hangingChars="249"/>
        <w:jc w:val="center"/>
        <w:rPr>
          <w:rFonts w:hint="eastAsia" w:ascii="宋体" w:hAnsi="宋体"/>
          <w:b/>
          <w:sz w:val="36"/>
          <w:szCs w:val="36"/>
        </w:rPr>
      </w:pPr>
    </w:p>
    <w:p>
      <w:pPr>
        <w:ind w:left="1700" w:leftChars="250" w:hanging="900" w:hangingChars="249"/>
        <w:jc w:val="center"/>
        <w:rPr>
          <w:rFonts w:hint="eastAsia" w:ascii="宋体" w:hAnsi="宋体"/>
          <w:b/>
          <w:sz w:val="36"/>
          <w:szCs w:val="36"/>
        </w:rPr>
      </w:pPr>
    </w:p>
    <w:p>
      <w:pPr>
        <w:pStyle w:val="2"/>
        <w:ind w:left="1258" w:hanging="1258"/>
        <w:jc w:val="both"/>
        <w:rPr>
          <w:rFonts w:hint="eastAsia" w:ascii="仿宋_GB2312" w:eastAsia="仿宋_GB2312"/>
          <w:sz w:val="32"/>
        </w:rPr>
      </w:pPr>
    </w:p>
    <w:p>
      <w:pPr>
        <w:pStyle w:val="2"/>
        <w:ind w:left="1258" w:hanging="1258"/>
        <w:jc w:val="both"/>
        <w:rPr>
          <w:rFonts w:hint="eastAsia" w:ascii="仿宋_GB2312" w:eastAsia="仿宋_GB2312"/>
          <w:sz w:val="32"/>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20277"/>
    <w:multiLevelType w:val="singleLevel"/>
    <w:tmpl w:val="85B20277"/>
    <w:lvl w:ilvl="0" w:tentative="0">
      <w:start w:val="4"/>
      <w:numFmt w:val="chineseCounting"/>
      <w:suff w:val="nothing"/>
      <w:lvlText w:val="（%1）"/>
      <w:lvlJc w:val="left"/>
      <w:rPr>
        <w:rFonts w:hint="eastAsia"/>
      </w:rPr>
    </w:lvl>
  </w:abstractNum>
  <w:abstractNum w:abstractNumId="1">
    <w:nsid w:val="B6035F00"/>
    <w:multiLevelType w:val="singleLevel"/>
    <w:tmpl w:val="B6035F00"/>
    <w:lvl w:ilvl="0" w:tentative="0">
      <w:start w:val="3"/>
      <w:numFmt w:val="chineseCounting"/>
      <w:suff w:val="nothing"/>
      <w:lvlText w:val="%1、"/>
      <w:lvlJc w:val="left"/>
      <w:rPr>
        <w:rFonts w:hint="eastAsia"/>
      </w:rPr>
    </w:lvl>
  </w:abstractNum>
  <w:abstractNum w:abstractNumId="2">
    <w:nsid w:val="D50BBA74"/>
    <w:multiLevelType w:val="singleLevel"/>
    <w:tmpl w:val="D50BBA74"/>
    <w:lvl w:ilvl="0" w:tentative="0">
      <w:start w:val="2"/>
      <w:numFmt w:val="chineseCounting"/>
      <w:suff w:val="nothing"/>
      <w:lvlText w:val="（%1）"/>
      <w:lvlJc w:val="left"/>
      <w:rPr>
        <w:rFonts w:hint="eastAsia"/>
      </w:rPr>
    </w:lvl>
  </w:abstractNum>
  <w:abstractNum w:abstractNumId="3">
    <w:nsid w:val="0E1778B5"/>
    <w:multiLevelType w:val="singleLevel"/>
    <w:tmpl w:val="0E1778B5"/>
    <w:lvl w:ilvl="0" w:tentative="0">
      <w:start w:val="2"/>
      <w:numFmt w:val="chineseCounting"/>
      <w:suff w:val="nothing"/>
      <w:lvlText w:val="%1、"/>
      <w:lvlJc w:val="left"/>
      <w:rPr>
        <w:rFonts w:hint="eastAsia"/>
      </w:rPr>
    </w:lvl>
  </w:abstractNum>
  <w:abstractNum w:abstractNumId="4">
    <w:nsid w:val="698B3C43"/>
    <w:multiLevelType w:val="singleLevel"/>
    <w:tmpl w:val="698B3C43"/>
    <w:lvl w:ilvl="0" w:tentative="0">
      <w:start w:val="6"/>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448D6"/>
    <w:rsid w:val="031B6250"/>
    <w:rsid w:val="037D408E"/>
    <w:rsid w:val="049B3E3C"/>
    <w:rsid w:val="06887C6B"/>
    <w:rsid w:val="06E4469B"/>
    <w:rsid w:val="096A7ECC"/>
    <w:rsid w:val="09A67C58"/>
    <w:rsid w:val="0B7F1BC7"/>
    <w:rsid w:val="0D32225C"/>
    <w:rsid w:val="0E9911EA"/>
    <w:rsid w:val="0F724090"/>
    <w:rsid w:val="1199101D"/>
    <w:rsid w:val="11AB23F2"/>
    <w:rsid w:val="13741641"/>
    <w:rsid w:val="142A2522"/>
    <w:rsid w:val="1610637C"/>
    <w:rsid w:val="180763FD"/>
    <w:rsid w:val="182B6C96"/>
    <w:rsid w:val="189366D7"/>
    <w:rsid w:val="18BE0170"/>
    <w:rsid w:val="18DB26D0"/>
    <w:rsid w:val="197554C9"/>
    <w:rsid w:val="19F51C73"/>
    <w:rsid w:val="1AA312BB"/>
    <w:rsid w:val="1BE9743C"/>
    <w:rsid w:val="1BFB6B45"/>
    <w:rsid w:val="1C1F2641"/>
    <w:rsid w:val="1D3F7CC5"/>
    <w:rsid w:val="1DD120C8"/>
    <w:rsid w:val="1EE67AA4"/>
    <w:rsid w:val="1F1F0384"/>
    <w:rsid w:val="1F5C0153"/>
    <w:rsid w:val="248C7798"/>
    <w:rsid w:val="290374C7"/>
    <w:rsid w:val="299421F6"/>
    <w:rsid w:val="2A4F363F"/>
    <w:rsid w:val="2BE47872"/>
    <w:rsid w:val="2E6032D0"/>
    <w:rsid w:val="2EAA787D"/>
    <w:rsid w:val="2EDC5C68"/>
    <w:rsid w:val="2EEE484E"/>
    <w:rsid w:val="2F992A8D"/>
    <w:rsid w:val="308A600F"/>
    <w:rsid w:val="30BA02C7"/>
    <w:rsid w:val="30CF64E9"/>
    <w:rsid w:val="32A511A0"/>
    <w:rsid w:val="335C2164"/>
    <w:rsid w:val="34B90344"/>
    <w:rsid w:val="351C2B1F"/>
    <w:rsid w:val="377A70E9"/>
    <w:rsid w:val="37DC6ABA"/>
    <w:rsid w:val="3A081FD3"/>
    <w:rsid w:val="3E4825EF"/>
    <w:rsid w:val="3FEC4FB7"/>
    <w:rsid w:val="412378C1"/>
    <w:rsid w:val="424D5AD8"/>
    <w:rsid w:val="434A4819"/>
    <w:rsid w:val="436E501E"/>
    <w:rsid w:val="45983FF3"/>
    <w:rsid w:val="46824B4D"/>
    <w:rsid w:val="477B4A7F"/>
    <w:rsid w:val="47963E42"/>
    <w:rsid w:val="48A179C2"/>
    <w:rsid w:val="4BC82245"/>
    <w:rsid w:val="4C200109"/>
    <w:rsid w:val="4F4910C4"/>
    <w:rsid w:val="4F700941"/>
    <w:rsid w:val="4FCE1514"/>
    <w:rsid w:val="506C1C9D"/>
    <w:rsid w:val="508B5C1D"/>
    <w:rsid w:val="54593A90"/>
    <w:rsid w:val="55E94F7E"/>
    <w:rsid w:val="572D6133"/>
    <w:rsid w:val="57F43856"/>
    <w:rsid w:val="5972698D"/>
    <w:rsid w:val="5A087D53"/>
    <w:rsid w:val="5A935247"/>
    <w:rsid w:val="5D022A4B"/>
    <w:rsid w:val="5DDE1EEC"/>
    <w:rsid w:val="5E7650F8"/>
    <w:rsid w:val="5E891DCF"/>
    <w:rsid w:val="5F42580C"/>
    <w:rsid w:val="60463458"/>
    <w:rsid w:val="6182407A"/>
    <w:rsid w:val="61920907"/>
    <w:rsid w:val="63246E33"/>
    <w:rsid w:val="63920865"/>
    <w:rsid w:val="66897C5E"/>
    <w:rsid w:val="682768D5"/>
    <w:rsid w:val="693B4DBF"/>
    <w:rsid w:val="6A316F3B"/>
    <w:rsid w:val="6ACD51CB"/>
    <w:rsid w:val="6B0B235D"/>
    <w:rsid w:val="6CE958C0"/>
    <w:rsid w:val="6D5D3B11"/>
    <w:rsid w:val="6D712822"/>
    <w:rsid w:val="6EDB742A"/>
    <w:rsid w:val="6FA829FC"/>
    <w:rsid w:val="72F01194"/>
    <w:rsid w:val="74556E1C"/>
    <w:rsid w:val="749F325D"/>
    <w:rsid w:val="759678B8"/>
    <w:rsid w:val="75F45F0D"/>
    <w:rsid w:val="76BF02E4"/>
    <w:rsid w:val="76FD2795"/>
    <w:rsid w:val="773D453D"/>
    <w:rsid w:val="7A171CAA"/>
    <w:rsid w:val="7B12365B"/>
    <w:rsid w:val="7B6B4B9A"/>
    <w:rsid w:val="7C64495C"/>
    <w:rsid w:val="7CA47F47"/>
    <w:rsid w:val="7D5E7C72"/>
    <w:rsid w:val="7E0E02BB"/>
    <w:rsid w:val="7E2448D6"/>
    <w:rsid w:val="7F9C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font11"/>
    <w:basedOn w:val="4"/>
    <w:qFormat/>
    <w:uiPriority w:val="0"/>
    <w:rPr>
      <w:rFonts w:hint="eastAsia" w:ascii="微软雅黑" w:hAnsi="微软雅黑" w:eastAsia="微软雅黑" w:cs="微软雅黑"/>
      <w:color w:val="000000"/>
      <w:sz w:val="20"/>
      <w:szCs w:val="20"/>
      <w:u w:val="none"/>
    </w:rPr>
  </w:style>
  <w:style w:type="character" w:customStyle="1" w:styleId="7">
    <w:name w:val="font2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2021-09-15T08:38:00Z</dcterms:created>
  <dc:creator>sunshine</dc:creator>
  <cp:lastModifiedBy>sunshine</cp:lastModifiedBy>
  <dcterms:modified xsi:type="dcterms:W3CDTF">2021-09-27T03:28:48Z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21D4D32E0DF146579D7D431CD14068BD</vt:lpwstr>
  </property>
</Properties>
</file>